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329E67"/>
    <w:p w14:paraId="7B3C62C1">
      <w:pPr>
        <w:bidi w:val="0"/>
        <w:rPr>
          <w:rFonts w:asciiTheme="minorHAnsi" w:hAnsiTheme="minorHAnsi" w:eastAsiaTheme="minorEastAsia" w:cstheme="minorBidi"/>
          <w:kern w:val="2"/>
          <w:sz w:val="21"/>
          <w:szCs w:val="24"/>
          <w:lang w:val="en-US" w:eastAsia="zh-CN" w:bidi="ar-SA"/>
        </w:rPr>
      </w:pPr>
    </w:p>
    <w:p w14:paraId="6D24CD82">
      <w:pPr>
        <w:jc w:val="center"/>
        <w:rPr>
          <w:rFonts w:hint="eastAsia" w:ascii="宋体" w:hAnsi="宋体" w:eastAsia="宋体" w:cs="宋体"/>
          <w:b/>
          <w:sz w:val="44"/>
          <w:szCs w:val="44"/>
        </w:rPr>
      </w:pPr>
      <w:r>
        <w:rPr>
          <w:rFonts w:hint="eastAsia" w:ascii="宋体" w:hAnsi="宋体" w:eastAsia="宋体" w:cs="宋体"/>
          <w:b/>
          <w:sz w:val="44"/>
          <w:szCs w:val="44"/>
        </w:rPr>
        <w:t>潘集经济开发区</w:t>
      </w:r>
      <w:r>
        <w:rPr>
          <w:rFonts w:hint="eastAsia" w:ascii="宋体" w:hAnsi="宋体" w:eastAsia="宋体" w:cs="宋体"/>
          <w:b/>
          <w:sz w:val="44"/>
          <w:szCs w:val="44"/>
          <w:lang w:val="en-US" w:eastAsia="zh-CN"/>
        </w:rPr>
        <w:t>(</w:t>
      </w:r>
      <w:r>
        <w:rPr>
          <w:rFonts w:hint="eastAsia" w:ascii="宋体" w:hAnsi="宋体" w:eastAsia="宋体" w:cs="宋体"/>
          <w:b/>
          <w:sz w:val="44"/>
          <w:szCs w:val="44"/>
        </w:rPr>
        <w:t>北区</w:t>
      </w:r>
      <w:r>
        <w:rPr>
          <w:rFonts w:hint="eastAsia" w:ascii="宋体" w:hAnsi="宋体" w:eastAsia="宋体" w:cs="宋体"/>
          <w:b/>
          <w:sz w:val="44"/>
          <w:szCs w:val="44"/>
          <w:lang w:val="en-US" w:eastAsia="zh-CN"/>
        </w:rPr>
        <w:t>)</w:t>
      </w:r>
      <w:r>
        <w:rPr>
          <w:rFonts w:hint="eastAsia" w:ascii="宋体" w:hAnsi="宋体" w:eastAsia="宋体" w:cs="宋体"/>
          <w:b/>
          <w:sz w:val="44"/>
          <w:szCs w:val="44"/>
        </w:rPr>
        <w:t>基础设施提升项目经四路新建慢行道沥青面层及标线施工</w:t>
      </w:r>
    </w:p>
    <w:p w14:paraId="2AFDB7F2">
      <w:pPr>
        <w:jc w:val="center"/>
        <w:rPr>
          <w:rFonts w:hint="eastAsia" w:ascii="宋体" w:hAnsi="宋体" w:eastAsia="宋体" w:cs="宋体"/>
          <w:b/>
          <w:sz w:val="44"/>
          <w:szCs w:val="44"/>
        </w:rPr>
      </w:pPr>
      <w:r>
        <w:rPr>
          <w:rFonts w:hint="eastAsia" w:ascii="宋体" w:hAnsi="宋体" w:eastAsia="宋体" w:cs="宋体"/>
          <w:b/>
          <w:sz w:val="44"/>
          <w:szCs w:val="44"/>
        </w:rPr>
        <w:t>工程</w:t>
      </w:r>
      <w:r>
        <w:rPr>
          <w:rFonts w:hint="eastAsia" w:ascii="宋体" w:hAnsi="宋体" w:eastAsia="宋体" w:cs="宋体"/>
          <w:b/>
          <w:sz w:val="44"/>
          <w:szCs w:val="44"/>
          <w:lang w:val="en-US" w:eastAsia="zh-CN"/>
        </w:rPr>
        <w:t>询价</w:t>
      </w:r>
      <w:r>
        <w:rPr>
          <w:rFonts w:hint="eastAsia" w:ascii="宋体" w:hAnsi="宋体" w:eastAsia="宋体" w:cs="宋体"/>
          <w:b/>
          <w:sz w:val="44"/>
          <w:szCs w:val="44"/>
        </w:rPr>
        <w:t>文件</w:t>
      </w:r>
    </w:p>
    <w:p w14:paraId="5D44B564">
      <w:pPr>
        <w:spacing w:line="360" w:lineRule="auto"/>
        <w:jc w:val="center"/>
        <w:textAlignment w:val="baseline"/>
        <w:rPr>
          <w:rFonts w:ascii="楷体" w:hAnsi="楷体" w:eastAsia="楷体" w:cs="Times New Roman"/>
          <w:b/>
          <w:sz w:val="32"/>
          <w:szCs w:val="32"/>
        </w:rPr>
      </w:pPr>
    </w:p>
    <w:p w14:paraId="2D17E2A5">
      <w:pPr>
        <w:spacing w:line="360" w:lineRule="auto"/>
        <w:jc w:val="center"/>
        <w:textAlignment w:val="baseline"/>
        <w:rPr>
          <w:rFonts w:ascii="楷体" w:hAnsi="楷体" w:eastAsia="楷体" w:cs="Times New Roman"/>
          <w:b/>
          <w:sz w:val="32"/>
          <w:szCs w:val="32"/>
        </w:rPr>
      </w:pPr>
    </w:p>
    <w:p w14:paraId="7B100B8B">
      <w:pPr>
        <w:spacing w:line="360" w:lineRule="auto"/>
        <w:jc w:val="both"/>
        <w:textAlignment w:val="baseline"/>
        <w:rPr>
          <w:rFonts w:ascii="楷体" w:hAnsi="楷体" w:eastAsia="楷体" w:cs="Times New Roman"/>
          <w:b/>
          <w:sz w:val="72"/>
          <w:szCs w:val="72"/>
        </w:rPr>
      </w:pPr>
    </w:p>
    <w:p w14:paraId="53A8E6AB">
      <w:pPr>
        <w:spacing w:line="360" w:lineRule="auto"/>
        <w:jc w:val="center"/>
        <w:textAlignment w:val="baseline"/>
        <w:rPr>
          <w:rFonts w:ascii="楷体" w:hAnsi="楷体" w:eastAsia="楷体" w:cs="Times New Roman"/>
          <w:b/>
          <w:sz w:val="32"/>
          <w:szCs w:val="32"/>
        </w:rPr>
      </w:pPr>
    </w:p>
    <w:p w14:paraId="33FD66AC">
      <w:pPr>
        <w:spacing w:line="360" w:lineRule="auto"/>
        <w:jc w:val="center"/>
        <w:textAlignment w:val="baseline"/>
        <w:rPr>
          <w:rFonts w:ascii="楷体" w:hAnsi="楷体" w:eastAsia="楷体" w:cs="Times New Roman"/>
          <w:b/>
          <w:sz w:val="32"/>
          <w:szCs w:val="32"/>
        </w:rPr>
      </w:pPr>
    </w:p>
    <w:p w14:paraId="6C125DE0">
      <w:pPr>
        <w:spacing w:line="360" w:lineRule="auto"/>
        <w:jc w:val="center"/>
        <w:textAlignment w:val="baseline"/>
        <w:rPr>
          <w:rFonts w:ascii="楷体" w:hAnsi="楷体" w:eastAsia="楷体" w:cs="Times New Roman"/>
          <w:b/>
          <w:sz w:val="32"/>
          <w:szCs w:val="32"/>
        </w:rPr>
      </w:pPr>
    </w:p>
    <w:p w14:paraId="6FC4797D">
      <w:pPr>
        <w:spacing w:line="360" w:lineRule="auto"/>
        <w:jc w:val="center"/>
        <w:textAlignment w:val="baseline"/>
        <w:rPr>
          <w:rFonts w:ascii="楷体" w:hAnsi="楷体" w:eastAsia="楷体" w:cs="Times New Roman"/>
          <w:b/>
          <w:sz w:val="32"/>
          <w:szCs w:val="32"/>
        </w:rPr>
      </w:pPr>
    </w:p>
    <w:p w14:paraId="4F769947">
      <w:pPr>
        <w:spacing w:line="360" w:lineRule="auto"/>
        <w:jc w:val="center"/>
        <w:textAlignment w:val="baseline"/>
        <w:rPr>
          <w:rFonts w:ascii="楷体" w:hAnsi="楷体" w:eastAsia="楷体" w:cs="Times New Roman"/>
          <w:b/>
          <w:sz w:val="32"/>
          <w:szCs w:val="32"/>
        </w:rPr>
      </w:pPr>
    </w:p>
    <w:p w14:paraId="01E6B5CA">
      <w:pPr>
        <w:spacing w:line="360" w:lineRule="auto"/>
        <w:jc w:val="center"/>
        <w:textAlignment w:val="baseline"/>
        <w:rPr>
          <w:rFonts w:ascii="楷体" w:hAnsi="楷体" w:eastAsia="楷体" w:cs="Times New Roman"/>
          <w:b/>
          <w:sz w:val="32"/>
          <w:szCs w:val="32"/>
        </w:rPr>
      </w:pPr>
    </w:p>
    <w:p w14:paraId="253BCF30">
      <w:pPr>
        <w:spacing w:line="360" w:lineRule="auto"/>
        <w:jc w:val="center"/>
        <w:textAlignment w:val="baseline"/>
        <w:rPr>
          <w:rFonts w:ascii="楷体" w:hAnsi="楷体" w:eastAsia="楷体" w:cs="Times New Roman"/>
          <w:b/>
          <w:sz w:val="32"/>
          <w:szCs w:val="32"/>
        </w:rPr>
      </w:pPr>
    </w:p>
    <w:p w14:paraId="1378D8A1">
      <w:pPr>
        <w:spacing w:line="360" w:lineRule="auto"/>
        <w:jc w:val="center"/>
        <w:textAlignment w:val="baseline"/>
        <w:rPr>
          <w:rFonts w:ascii="楷体" w:hAnsi="楷体" w:eastAsia="楷体" w:cs="Times New Roman"/>
          <w:b/>
          <w:sz w:val="32"/>
          <w:szCs w:val="32"/>
        </w:rPr>
      </w:pPr>
    </w:p>
    <w:p w14:paraId="5C7E03CF">
      <w:pPr>
        <w:spacing w:line="360" w:lineRule="auto"/>
        <w:jc w:val="center"/>
        <w:textAlignment w:val="baseline"/>
        <w:rPr>
          <w:rFonts w:ascii="Times New Roman" w:hAnsi="Times New Roman" w:eastAsia="宋体" w:cs="Times New Roman"/>
          <w:b/>
          <w:sz w:val="36"/>
          <w:szCs w:val="36"/>
          <w:u w:val="single"/>
        </w:rPr>
      </w:pPr>
      <w:r>
        <w:rPr>
          <w:rFonts w:hint="eastAsia" w:ascii="Times New Roman" w:hAnsi="Times New Roman" w:eastAsia="宋体" w:cs="Times New Roman"/>
          <w:b/>
          <w:sz w:val="36"/>
          <w:szCs w:val="36"/>
          <w:lang w:val="en-US" w:eastAsia="zh-CN"/>
        </w:rPr>
        <w:t>询价单位</w:t>
      </w:r>
      <w:r>
        <w:rPr>
          <w:rFonts w:hint="eastAsia" w:ascii="Times New Roman" w:hAnsi="Times New Roman" w:eastAsia="宋体" w:cs="Times New Roman"/>
          <w:b/>
          <w:sz w:val="36"/>
          <w:szCs w:val="36"/>
        </w:rPr>
        <w:t>：</w:t>
      </w:r>
      <w:r>
        <w:rPr>
          <w:rFonts w:hint="eastAsia" w:ascii="Times New Roman" w:hAnsi="Times New Roman" w:eastAsia="宋体" w:cs="Times New Roman"/>
          <w:b/>
          <w:sz w:val="36"/>
          <w:szCs w:val="36"/>
          <w:u w:val="single"/>
        </w:rPr>
        <w:t xml:space="preserve"> 安徽新集矿山建设工程有限公司</w:t>
      </w:r>
    </w:p>
    <w:p w14:paraId="294230B5">
      <w:pPr>
        <w:spacing w:line="400" w:lineRule="exact"/>
        <w:jc w:val="center"/>
        <w:textAlignment w:val="baseline"/>
        <w:rPr>
          <w:rFonts w:ascii="Times New Roman" w:hAnsi="Times New Roman" w:eastAsia="宋体" w:cs="Times New Roman"/>
          <w:b/>
          <w:bCs/>
          <w:sz w:val="32"/>
        </w:rPr>
      </w:pPr>
    </w:p>
    <w:p w14:paraId="2757EDDC">
      <w:pPr>
        <w:spacing w:line="400" w:lineRule="exact"/>
        <w:jc w:val="center"/>
        <w:textAlignment w:val="baseline"/>
        <w:rPr>
          <w:rFonts w:ascii="Times New Roman" w:hAnsi="Times New Roman" w:eastAsia="宋体" w:cs="Times New Roman"/>
          <w:b/>
          <w:bCs/>
          <w:sz w:val="32"/>
        </w:rPr>
      </w:pPr>
    </w:p>
    <w:p w14:paraId="70FEE76A">
      <w:pPr>
        <w:spacing w:line="400" w:lineRule="exact"/>
        <w:jc w:val="center"/>
        <w:textAlignment w:val="baseline"/>
        <w:rPr>
          <w:rFonts w:ascii="Times New Roman" w:hAnsi="Times New Roman" w:eastAsia="宋体" w:cs="Times New Roman"/>
          <w:b/>
          <w:bCs/>
          <w:sz w:val="32"/>
        </w:rPr>
      </w:pPr>
    </w:p>
    <w:p w14:paraId="503D68C3">
      <w:pPr>
        <w:spacing w:line="400" w:lineRule="exact"/>
        <w:jc w:val="center"/>
        <w:textAlignment w:val="baseline"/>
        <w:rPr>
          <w:rFonts w:ascii="Times New Roman" w:hAnsi="Times New Roman" w:eastAsia="宋体" w:cs="Times New Roman"/>
          <w:b/>
          <w:sz w:val="20"/>
          <w:szCs w:val="20"/>
        </w:rPr>
      </w:pPr>
      <w:r>
        <w:rPr>
          <w:rFonts w:hint="eastAsia" w:ascii="Times New Roman" w:hAnsi="Times New Roman" w:eastAsia="宋体" w:cs="Times New Roman"/>
          <w:b/>
          <w:bCs/>
          <w:sz w:val="32"/>
          <w:lang w:val="en-US" w:eastAsia="zh-CN"/>
        </w:rPr>
        <w:t xml:space="preserve"> </w:t>
      </w:r>
      <w:r>
        <w:rPr>
          <w:rFonts w:hint="eastAsia" w:ascii="Times New Roman" w:hAnsi="Times New Roman" w:eastAsia="宋体" w:cs="Times New Roman"/>
          <w:b/>
          <w:bCs/>
          <w:sz w:val="32"/>
        </w:rPr>
        <w:t>年</w:t>
      </w:r>
      <w:r>
        <w:rPr>
          <w:rFonts w:hint="eastAsia" w:ascii="Times New Roman" w:hAnsi="Times New Roman" w:eastAsia="宋体" w:cs="Times New Roman"/>
          <w:b/>
          <w:bCs/>
          <w:sz w:val="32"/>
          <w:lang w:val="en-US" w:eastAsia="zh-CN"/>
        </w:rPr>
        <w:t xml:space="preserve">    </w:t>
      </w:r>
      <w:r>
        <w:rPr>
          <w:rFonts w:hint="eastAsia" w:ascii="Times New Roman" w:hAnsi="Times New Roman" w:eastAsia="宋体" w:cs="Times New Roman"/>
          <w:b/>
          <w:bCs/>
          <w:sz w:val="32"/>
        </w:rPr>
        <w:t>月</w:t>
      </w:r>
      <w:r>
        <w:rPr>
          <w:rFonts w:hint="eastAsia" w:ascii="Times New Roman" w:hAnsi="Times New Roman" w:eastAsia="宋体" w:cs="Times New Roman"/>
          <w:b/>
          <w:bCs/>
          <w:sz w:val="32"/>
          <w:lang w:val="en-US" w:eastAsia="zh-CN"/>
        </w:rPr>
        <w:t xml:space="preserve">    </w:t>
      </w:r>
      <w:r>
        <w:rPr>
          <w:rFonts w:hint="eastAsia" w:ascii="Times New Roman" w:hAnsi="Times New Roman" w:eastAsia="宋体" w:cs="Times New Roman"/>
          <w:b/>
          <w:bCs/>
          <w:sz w:val="32"/>
        </w:rPr>
        <w:t>日</w:t>
      </w:r>
    </w:p>
    <w:p w14:paraId="00668AC3">
      <w:pPr>
        <w:spacing w:line="400" w:lineRule="exact"/>
        <w:textAlignment w:val="baseline"/>
        <w:rPr>
          <w:rFonts w:ascii="Times New Roman" w:hAnsi="Times New Roman" w:eastAsia="宋体" w:cs="Times New Roman"/>
          <w:sz w:val="20"/>
        </w:rPr>
      </w:pPr>
    </w:p>
    <w:p w14:paraId="3CACCE5B">
      <w:pPr>
        <w:spacing w:line="600" w:lineRule="exact"/>
        <w:jc w:val="center"/>
        <w:textAlignment w:val="baseline"/>
        <w:rPr>
          <w:rFonts w:ascii="Arial Narrow" w:hAnsi="Arial Narrow" w:eastAsia="方正大标宋简体" w:cs="Times New Roman"/>
          <w:w w:val="90"/>
          <w:sz w:val="44"/>
        </w:rPr>
      </w:pPr>
    </w:p>
    <w:p w14:paraId="7B42B0BC">
      <w:pPr>
        <w:keepNext w:val="0"/>
        <w:keepLines w:val="0"/>
        <w:pageBreakBefore w:val="0"/>
        <w:widowControl w:val="0"/>
        <w:kinsoku/>
        <w:wordWrap/>
        <w:overflowPunct/>
        <w:topLinePunct w:val="0"/>
        <w:autoSpaceDE/>
        <w:autoSpaceDN/>
        <w:bidi w:val="0"/>
        <w:adjustRightInd/>
        <w:snapToGrid/>
        <w:spacing w:line="400" w:lineRule="exact"/>
        <w:ind w:firstLine="792" w:firstLineChars="200"/>
        <w:jc w:val="center"/>
        <w:textAlignment w:val="baseline"/>
        <w:rPr>
          <w:rFonts w:ascii="Arial Narrow" w:hAnsi="Arial Narrow" w:eastAsia="方正大标宋简体" w:cs="Times New Roman"/>
          <w:w w:val="90"/>
          <w:sz w:val="44"/>
        </w:rPr>
      </w:pPr>
    </w:p>
    <w:p w14:paraId="46DBFED8">
      <w:pPr>
        <w:keepNext w:val="0"/>
        <w:keepLines w:val="0"/>
        <w:pageBreakBefore w:val="0"/>
        <w:widowControl w:val="0"/>
        <w:kinsoku/>
        <w:wordWrap/>
        <w:overflowPunct/>
        <w:topLinePunct w:val="0"/>
        <w:autoSpaceDE/>
        <w:autoSpaceDN/>
        <w:bidi w:val="0"/>
        <w:adjustRightInd/>
        <w:snapToGrid/>
        <w:spacing w:line="400" w:lineRule="exact"/>
        <w:ind w:firstLine="378" w:firstLineChars="200"/>
        <w:jc w:val="both"/>
        <w:textAlignment w:val="baseline"/>
        <w:rPr>
          <w:rFonts w:ascii="Arial Narrow" w:hAnsi="Arial Narrow" w:eastAsia="方正大标宋简体" w:cs="Times New Roman"/>
          <w:w w:val="90"/>
          <w:sz w:val="21"/>
          <w:szCs w:val="13"/>
        </w:rPr>
      </w:pPr>
    </w:p>
    <w:p w14:paraId="26BFF72B">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sectPr>
          <w:headerReference r:id="rId3" w:type="default"/>
          <w:pgSz w:w="11906" w:h="16838"/>
          <w:pgMar w:top="1440" w:right="1800" w:bottom="1440" w:left="1800" w:header="851" w:footer="992" w:gutter="0"/>
          <w:cols w:space="425" w:num="1"/>
          <w:docGrid w:type="lines" w:linePitch="312" w:charSpace="0"/>
        </w:sectPr>
      </w:pPr>
    </w:p>
    <w:p w14:paraId="3B91712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潘集经济开发区（北区）基础设施提升项目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经四路新建慢行道沥青面层及标线施工工程</w:t>
      </w:r>
      <w:r>
        <w:rPr>
          <w:rFonts w:hint="eastAsia" w:ascii="宋体" w:hAnsi="宋体" w:eastAsia="宋体" w:cs="宋体"/>
          <w:color w:val="000000" w:themeColor="text1"/>
          <w:sz w:val="24"/>
          <w:szCs w:val="24"/>
          <w:highlight w:val="none"/>
          <w14:textFill>
            <w14:solidFill>
              <w14:schemeClr w14:val="tx1"/>
            </w14:solidFill>
          </w14:textFill>
        </w:rPr>
        <w:t>，本工程包括</w:t>
      </w:r>
      <w:r>
        <w:rPr>
          <w:rFonts w:hint="eastAsia" w:ascii="宋体" w:hAnsi="宋体" w:eastAsia="宋体" w:cs="宋体"/>
          <w:color w:val="000000" w:themeColor="text1"/>
          <w:sz w:val="24"/>
          <w:szCs w:val="24"/>
          <w:highlight w:val="none"/>
          <w:lang w:val="en-US" w:eastAsia="zh-CN"/>
          <w14:textFill>
            <w14:solidFill>
              <w14:schemeClr w14:val="tx1"/>
            </w14:solidFill>
          </w14:textFill>
        </w:rPr>
        <w:t>新建慢行道沥青面层和标线施工</w:t>
      </w:r>
      <w:r>
        <w:rPr>
          <w:rFonts w:hint="eastAsia" w:ascii="宋体" w:hAnsi="宋体" w:eastAsia="宋体" w:cs="宋体"/>
          <w:color w:val="000000" w:themeColor="text1"/>
          <w:sz w:val="24"/>
          <w:szCs w:val="24"/>
          <w:highlight w:val="none"/>
          <w14:textFill>
            <w14:solidFill>
              <w14:schemeClr w14:val="tx1"/>
            </w14:solidFill>
          </w14:textFill>
        </w:rPr>
        <w:t>，本询价文件是各报价人编制报价书的依据，也是今后询价人与报价人签订分包合同的依据。本次上网公布的是公开报名，采纳优质合理低价。</w:t>
      </w:r>
    </w:p>
    <w:p w14:paraId="228C9234">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一、工程概况</w:t>
      </w:r>
    </w:p>
    <w:p w14:paraId="266AEAA0">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工程名称：潘集经济开发区（北区）基础设施提升项目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经四路新建慢行道沥青面层及标线施工工程</w:t>
      </w:r>
    </w:p>
    <w:p w14:paraId="79A10764">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工程地点：潘集平圩经济开发区</w:t>
      </w:r>
    </w:p>
    <w:p w14:paraId="7F40E65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3、施工单位：安徽新集矿山建设工程有限公司</w:t>
      </w:r>
    </w:p>
    <w:p w14:paraId="6AE0158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4、计价方式:  综合单价形式(包工包料)</w:t>
      </w:r>
    </w:p>
    <w:p w14:paraId="659045CA">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二、工程内容及询价范围：</w:t>
      </w:r>
    </w:p>
    <w:p w14:paraId="46B2FEAA">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1、承包方式：</w:t>
      </w:r>
    </w:p>
    <w:p w14:paraId="3BDE7F13">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包工、包料、</w:t>
      </w:r>
      <w:r>
        <w:rPr>
          <w:rFonts w:hint="eastAsia" w:ascii="宋体" w:hAnsi="宋体" w:eastAsia="宋体" w:cs="宋体"/>
          <w:color w:val="000000" w:themeColor="text1"/>
          <w:sz w:val="24"/>
          <w:szCs w:val="24"/>
          <w:highlight w:val="none"/>
          <w:lang w:val="en-US" w:eastAsia="zh-CN"/>
          <w14:textFill>
            <w14:solidFill>
              <w14:schemeClr w14:val="tx1"/>
            </w14:solidFill>
          </w14:textFill>
        </w:rPr>
        <w:t>包机械、</w:t>
      </w:r>
      <w:r>
        <w:rPr>
          <w:rFonts w:hint="eastAsia" w:ascii="宋体" w:hAnsi="宋体" w:eastAsia="宋体" w:cs="宋体"/>
          <w:color w:val="000000" w:themeColor="text1"/>
          <w:sz w:val="24"/>
          <w:szCs w:val="24"/>
          <w:highlight w:val="none"/>
          <w14:textFill>
            <w14:solidFill>
              <w14:schemeClr w14:val="tx1"/>
            </w14:solidFill>
          </w14:textFill>
        </w:rPr>
        <w:t>包工期、包质量、包安全、包文明施工并由报价方自供材料的形式承包施工。</w:t>
      </w:r>
    </w:p>
    <w:p w14:paraId="4687EEC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2、本次询价范围：</w:t>
      </w:r>
    </w:p>
    <w:p w14:paraId="1E06B9AA">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承包人须按照相关规范要求进行施工，确保验收通过，并提供承包范围内所需的一切资料，材料检测资料、检测费用。</w:t>
      </w:r>
    </w:p>
    <w:p w14:paraId="4DB52C9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default" w:ascii="宋体" w:hAnsi="宋体" w:eastAsia="宋体" w:cs="宋体"/>
          <w:color w:val="000000" w:themeColor="text1"/>
          <w:sz w:val="24"/>
          <w:szCs w:val="24"/>
          <w:highlight w:val="none"/>
          <w:lang w:val="en-US" w:eastAsia="zh-CN"/>
          <w14:textFill>
            <w14:solidFill>
              <w14:schemeClr w14:val="tx1"/>
            </w14:solidFill>
          </w14:textFill>
        </w:rPr>
        <w:sectPr>
          <w:footerReference r:id="rId4" w:type="default"/>
          <w:pgSz w:w="11906" w:h="16838"/>
          <w:pgMar w:top="1440" w:right="1800" w:bottom="1440" w:left="1800" w:header="851" w:footer="992" w:gutter="0"/>
          <w:pgNumType w:fmt="decimal" w:start="1"/>
          <w:cols w:space="425" w:num="1"/>
          <w:docGrid w:type="lines" w:linePitch="312" w:charSpace="0"/>
        </w:sectPr>
      </w:pPr>
      <w:r>
        <w:rPr>
          <w:rFonts w:hint="eastAsia" w:ascii="宋体" w:hAnsi="宋体" w:eastAsia="宋体" w:cs="宋体"/>
          <w:color w:val="000000" w:themeColor="text1"/>
          <w:sz w:val="24"/>
          <w:szCs w:val="24"/>
          <w:highlight w:val="none"/>
          <w:lang w:val="en-US" w:eastAsia="zh-CN"/>
          <w14:textFill>
            <w14:solidFill>
              <w14:schemeClr w14:val="tx1"/>
            </w14:solidFill>
          </w14:textFill>
        </w:rPr>
        <w:t>3、本单位不组织统一踏勘，报价单位自行踏勘现场。</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1470"/>
        <w:gridCol w:w="5730"/>
        <w:gridCol w:w="900"/>
        <w:gridCol w:w="1290"/>
        <w:gridCol w:w="1425"/>
        <w:gridCol w:w="1320"/>
        <w:gridCol w:w="1222"/>
      </w:tblGrid>
      <w:tr w14:paraId="09251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4168" w:type="dxa"/>
            <w:gridSpan w:val="8"/>
            <w:tcBorders>
              <w:top w:val="nil"/>
              <w:left w:val="nil"/>
              <w:bottom w:val="single" w:color="auto" w:sz="4" w:space="0"/>
              <w:right w:val="nil"/>
            </w:tcBorders>
            <w:vAlign w:val="center"/>
          </w:tcPr>
          <w:p w14:paraId="2854DB64">
            <w:pPr>
              <w:keepNext w:val="0"/>
              <w:keepLines w:val="0"/>
              <w:widowControl/>
              <w:suppressLineNumbers w:val="0"/>
              <w:jc w:val="center"/>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eastAsia="仿宋_GB2312"/>
                <w:b/>
                <w:bCs/>
                <w:color w:val="000000"/>
                <w:sz w:val="36"/>
                <w:szCs w:val="36"/>
              </w:rPr>
              <w:t>工程量一览表</w:t>
            </w:r>
          </w:p>
        </w:tc>
      </w:tr>
      <w:tr w14:paraId="6D50D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811" w:type="dxa"/>
            <w:tcBorders>
              <w:top w:val="single" w:color="auto" w:sz="4" w:space="0"/>
            </w:tcBorders>
            <w:vAlign w:val="center"/>
          </w:tcPr>
          <w:p w14:paraId="122C99C1">
            <w:pPr>
              <w:keepNext w:val="0"/>
              <w:keepLines w:val="0"/>
              <w:widowControl/>
              <w:suppressLineNumbers w:val="0"/>
              <w:jc w:val="center"/>
              <w:textAlignment w:val="center"/>
              <w:rPr>
                <w:rFonts w:hint="eastAsia" w:asciiTheme="minorEastAsia" w:hAnsiTheme="minorEastAsia" w:eastAsiaTheme="minorEastAsia" w:cstheme="minorEastAsia"/>
                <w:b/>
                <w:bCs/>
                <w:w w:val="90"/>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序号</w:t>
            </w:r>
          </w:p>
        </w:tc>
        <w:tc>
          <w:tcPr>
            <w:tcW w:w="1470" w:type="dxa"/>
            <w:tcBorders>
              <w:top w:val="single" w:color="auto" w:sz="4" w:space="0"/>
            </w:tcBorders>
            <w:vAlign w:val="center"/>
          </w:tcPr>
          <w:p w14:paraId="06786689">
            <w:pPr>
              <w:keepNext w:val="0"/>
              <w:keepLines w:val="0"/>
              <w:widowControl/>
              <w:suppressLineNumbers w:val="0"/>
              <w:jc w:val="center"/>
              <w:textAlignment w:val="center"/>
              <w:rPr>
                <w:rFonts w:hint="eastAsia" w:asciiTheme="minorEastAsia" w:hAnsiTheme="minorEastAsia" w:eastAsiaTheme="minorEastAsia" w:cstheme="minorEastAsia"/>
                <w:b/>
                <w:bCs/>
                <w:w w:val="90"/>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项目名称</w:t>
            </w:r>
          </w:p>
        </w:tc>
        <w:tc>
          <w:tcPr>
            <w:tcW w:w="5730" w:type="dxa"/>
            <w:tcBorders>
              <w:top w:val="single" w:color="auto" w:sz="4" w:space="0"/>
            </w:tcBorders>
            <w:vAlign w:val="center"/>
          </w:tcPr>
          <w:p w14:paraId="5084D3F1">
            <w:pPr>
              <w:keepNext w:val="0"/>
              <w:keepLines w:val="0"/>
              <w:widowControl/>
              <w:suppressLineNumbers w:val="0"/>
              <w:jc w:val="center"/>
              <w:textAlignment w:val="center"/>
              <w:rPr>
                <w:rFonts w:hint="eastAsia" w:asciiTheme="minorEastAsia" w:hAnsiTheme="minorEastAsia" w:eastAsiaTheme="minorEastAsia" w:cstheme="minorEastAsia"/>
                <w:b/>
                <w:bCs/>
                <w:w w:val="90"/>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项目特征描述</w:t>
            </w:r>
          </w:p>
        </w:tc>
        <w:tc>
          <w:tcPr>
            <w:tcW w:w="900" w:type="dxa"/>
            <w:tcBorders>
              <w:top w:val="single" w:color="auto" w:sz="4" w:space="0"/>
            </w:tcBorders>
            <w:vAlign w:val="center"/>
          </w:tcPr>
          <w:p w14:paraId="3009565D">
            <w:pPr>
              <w:keepNext w:val="0"/>
              <w:keepLines w:val="0"/>
              <w:widowControl/>
              <w:suppressLineNumbers w:val="0"/>
              <w:jc w:val="center"/>
              <w:textAlignment w:val="center"/>
              <w:rPr>
                <w:rFonts w:hint="eastAsia" w:asciiTheme="minorEastAsia" w:hAnsiTheme="minorEastAsia" w:eastAsiaTheme="minorEastAsia" w:cstheme="minorEastAsia"/>
                <w:b/>
                <w:bCs/>
                <w:w w:val="90"/>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单位</w:t>
            </w:r>
          </w:p>
        </w:tc>
        <w:tc>
          <w:tcPr>
            <w:tcW w:w="1290" w:type="dxa"/>
            <w:tcBorders>
              <w:top w:val="single" w:color="auto" w:sz="4" w:space="0"/>
            </w:tcBorders>
            <w:vAlign w:val="center"/>
          </w:tcPr>
          <w:p w14:paraId="66F5AD8E">
            <w:pPr>
              <w:keepNext w:val="0"/>
              <w:keepLines w:val="0"/>
              <w:widowControl/>
              <w:suppressLineNumbers w:val="0"/>
              <w:jc w:val="center"/>
              <w:textAlignment w:val="center"/>
              <w:rPr>
                <w:rFonts w:hint="eastAsia" w:asciiTheme="minorEastAsia" w:hAnsiTheme="minorEastAsia" w:eastAsiaTheme="minorEastAsia" w:cstheme="minorEastAsia"/>
                <w:b/>
                <w:bCs/>
                <w:w w:val="90"/>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计划用量</w:t>
            </w:r>
          </w:p>
        </w:tc>
        <w:tc>
          <w:tcPr>
            <w:tcW w:w="1425" w:type="dxa"/>
            <w:tcBorders>
              <w:top w:val="single" w:color="auto" w:sz="4" w:space="0"/>
            </w:tcBorders>
            <w:vAlign w:val="center"/>
          </w:tcPr>
          <w:p w14:paraId="59B149E8">
            <w:pPr>
              <w:keepNext w:val="0"/>
              <w:keepLines w:val="0"/>
              <w:widowControl/>
              <w:suppressLineNumbers w:val="0"/>
              <w:jc w:val="center"/>
              <w:textAlignment w:val="center"/>
              <w:rPr>
                <w:rFonts w:hint="eastAsia" w:asciiTheme="minorEastAsia" w:hAnsiTheme="minorEastAsia" w:eastAsiaTheme="minorEastAsia" w:cstheme="minorEastAsia"/>
                <w:b/>
                <w:bCs/>
                <w:w w:val="90"/>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单价（元）</w:t>
            </w:r>
          </w:p>
        </w:tc>
        <w:tc>
          <w:tcPr>
            <w:tcW w:w="1320" w:type="dxa"/>
            <w:tcBorders>
              <w:top w:val="single" w:color="auto" w:sz="4" w:space="0"/>
            </w:tcBorders>
            <w:vAlign w:val="center"/>
          </w:tcPr>
          <w:p w14:paraId="60FFE0A2">
            <w:pPr>
              <w:keepNext w:val="0"/>
              <w:keepLines w:val="0"/>
              <w:widowControl/>
              <w:suppressLineNumbers w:val="0"/>
              <w:jc w:val="center"/>
              <w:textAlignment w:val="center"/>
              <w:rPr>
                <w:rFonts w:hint="eastAsia" w:asciiTheme="minorEastAsia" w:hAnsiTheme="minorEastAsia" w:eastAsiaTheme="minorEastAsia" w:cstheme="minorEastAsia"/>
                <w:b/>
                <w:bCs/>
                <w:w w:val="90"/>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总价（元）</w:t>
            </w:r>
          </w:p>
        </w:tc>
        <w:tc>
          <w:tcPr>
            <w:tcW w:w="1222" w:type="dxa"/>
            <w:tcBorders>
              <w:top w:val="single" w:color="auto" w:sz="4" w:space="0"/>
            </w:tcBorders>
            <w:vAlign w:val="center"/>
          </w:tcPr>
          <w:p w14:paraId="24037146">
            <w:pPr>
              <w:keepNext w:val="0"/>
              <w:keepLines w:val="0"/>
              <w:widowControl/>
              <w:suppressLineNumbers w:val="0"/>
              <w:jc w:val="center"/>
              <w:textAlignment w:val="center"/>
              <w:rPr>
                <w:rFonts w:hint="eastAsia" w:asciiTheme="minorEastAsia" w:hAnsiTheme="minorEastAsia" w:eastAsiaTheme="minorEastAsia" w:cstheme="minorEastAsia"/>
                <w:b/>
                <w:bCs/>
                <w:w w:val="90"/>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备注</w:t>
            </w:r>
          </w:p>
        </w:tc>
      </w:tr>
      <w:tr w14:paraId="6A826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vAlign w:val="center"/>
          </w:tcPr>
          <w:p w14:paraId="72D788A8">
            <w:pPr>
              <w:keepNext w:val="0"/>
              <w:keepLines w:val="0"/>
              <w:widowControl/>
              <w:suppressLineNumbers w:val="0"/>
              <w:jc w:val="center"/>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1470" w:type="dxa"/>
            <w:vAlign w:val="center"/>
          </w:tcPr>
          <w:p w14:paraId="418FBA0D">
            <w:pPr>
              <w:keepNext w:val="0"/>
              <w:keepLines w:val="0"/>
              <w:widowControl/>
              <w:suppressLineNumbers w:val="0"/>
              <w:jc w:val="center"/>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粘层</w:t>
            </w:r>
          </w:p>
        </w:tc>
        <w:tc>
          <w:tcPr>
            <w:tcW w:w="5730" w:type="dxa"/>
            <w:vAlign w:val="center"/>
          </w:tcPr>
          <w:p w14:paraId="57F8A45F">
            <w:pPr>
              <w:keepNext w:val="0"/>
              <w:keepLines w:val="0"/>
              <w:widowControl/>
              <w:numPr>
                <w:ilvl w:val="0"/>
                <w:numId w:val="1"/>
              </w:numPr>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材料品种：阳离子改性乳化沥青粘层PCR；</w:t>
            </w:r>
          </w:p>
          <w:p w14:paraId="25269856">
            <w:pPr>
              <w:keepNext w:val="0"/>
              <w:keepLines w:val="0"/>
              <w:widowControl/>
              <w:numPr>
                <w:ilvl w:val="0"/>
                <w:numId w:val="1"/>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喷油量：0.3-0.6L/㎡。</w:t>
            </w:r>
          </w:p>
          <w:p w14:paraId="258765C2">
            <w:pPr>
              <w:keepNext w:val="0"/>
              <w:keepLines w:val="0"/>
              <w:widowControl/>
              <w:numPr>
                <w:ilvl w:val="0"/>
                <w:numId w:val="0"/>
              </w:numPr>
              <w:suppressLineNumbers w:val="0"/>
              <w:ind w:left="0" w:leftChars="0" w:firstLine="0" w:firstLineChars="0"/>
              <w:jc w:val="left"/>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3、其他：未尽事宜详见设计图纸</w:t>
            </w:r>
          </w:p>
        </w:tc>
        <w:tc>
          <w:tcPr>
            <w:tcW w:w="900" w:type="dxa"/>
            <w:vAlign w:val="center"/>
          </w:tcPr>
          <w:p w14:paraId="4C4BC85A">
            <w:pPr>
              <w:keepNext w:val="0"/>
              <w:keepLines w:val="0"/>
              <w:widowControl/>
              <w:suppressLineNumbers w:val="0"/>
              <w:jc w:val="center"/>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w:t>
            </w:r>
          </w:p>
        </w:tc>
        <w:tc>
          <w:tcPr>
            <w:tcW w:w="1290" w:type="dxa"/>
            <w:vAlign w:val="center"/>
          </w:tcPr>
          <w:p w14:paraId="3B6B9752">
            <w:pPr>
              <w:keepNext w:val="0"/>
              <w:keepLines w:val="0"/>
              <w:widowControl/>
              <w:suppressLineNumbers w:val="0"/>
              <w:jc w:val="center"/>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8600</w:t>
            </w:r>
          </w:p>
        </w:tc>
        <w:tc>
          <w:tcPr>
            <w:tcW w:w="1425" w:type="dxa"/>
            <w:vAlign w:val="center"/>
          </w:tcPr>
          <w:p w14:paraId="7A8A0EF9">
            <w:pPr>
              <w:jc w:val="center"/>
              <w:rPr>
                <w:rFonts w:hint="eastAsia" w:asciiTheme="minorEastAsia" w:hAnsiTheme="minorEastAsia" w:eastAsiaTheme="minorEastAsia" w:cstheme="minorEastAsia"/>
                <w:w w:val="90"/>
                <w:sz w:val="24"/>
                <w:szCs w:val="24"/>
                <w:vertAlign w:val="baseline"/>
                <w:lang w:val="en-US" w:eastAsia="zh-CN"/>
              </w:rPr>
            </w:pPr>
          </w:p>
        </w:tc>
        <w:tc>
          <w:tcPr>
            <w:tcW w:w="1320" w:type="dxa"/>
            <w:vAlign w:val="center"/>
          </w:tcPr>
          <w:p w14:paraId="5EFA2EB3">
            <w:pPr>
              <w:jc w:val="center"/>
              <w:rPr>
                <w:rFonts w:hint="eastAsia" w:asciiTheme="minorEastAsia" w:hAnsiTheme="minorEastAsia" w:eastAsiaTheme="minorEastAsia" w:cstheme="minorEastAsia"/>
                <w:w w:val="90"/>
                <w:sz w:val="24"/>
                <w:szCs w:val="24"/>
                <w:vertAlign w:val="baseline"/>
                <w:lang w:val="en-US" w:eastAsia="zh-CN"/>
              </w:rPr>
            </w:pPr>
          </w:p>
        </w:tc>
        <w:tc>
          <w:tcPr>
            <w:tcW w:w="1222" w:type="dxa"/>
            <w:vMerge w:val="restart"/>
            <w:vAlign w:val="center"/>
          </w:tcPr>
          <w:p w14:paraId="6F414C5C">
            <w:pPr>
              <w:jc w:val="center"/>
              <w:rPr>
                <w:rFonts w:hint="eastAsia" w:asciiTheme="minorEastAsia" w:hAnsiTheme="minorEastAsia" w:eastAsiaTheme="minorEastAsia" w:cstheme="minorEastAsia"/>
                <w:w w:val="90"/>
                <w:sz w:val="24"/>
                <w:szCs w:val="24"/>
                <w:vertAlign w:val="baseline"/>
                <w:lang w:val="en-US" w:eastAsia="zh-CN"/>
              </w:rPr>
            </w:pPr>
          </w:p>
        </w:tc>
      </w:tr>
      <w:tr w14:paraId="06F98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vAlign w:val="center"/>
          </w:tcPr>
          <w:p w14:paraId="35D4BCAB">
            <w:pPr>
              <w:keepNext w:val="0"/>
              <w:keepLines w:val="0"/>
              <w:widowControl/>
              <w:suppressLineNumbers w:val="0"/>
              <w:jc w:val="center"/>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2</w:t>
            </w:r>
          </w:p>
        </w:tc>
        <w:tc>
          <w:tcPr>
            <w:tcW w:w="1470" w:type="dxa"/>
            <w:vAlign w:val="center"/>
          </w:tcPr>
          <w:p w14:paraId="146AAF2F">
            <w:pPr>
              <w:keepNext w:val="0"/>
              <w:keepLines w:val="0"/>
              <w:widowControl/>
              <w:suppressLineNumbers w:val="0"/>
              <w:jc w:val="center"/>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沥青混凝土</w:t>
            </w:r>
          </w:p>
        </w:tc>
        <w:tc>
          <w:tcPr>
            <w:tcW w:w="5730" w:type="dxa"/>
            <w:vAlign w:val="center"/>
          </w:tcPr>
          <w:p w14:paraId="71B7AEE3">
            <w:pPr>
              <w:keepNext w:val="0"/>
              <w:keepLines w:val="0"/>
              <w:widowControl/>
              <w:numPr>
                <w:ilvl w:val="0"/>
                <w:numId w:val="2"/>
              </w:numPr>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沥青含量：4.0-6.0%；</w:t>
            </w:r>
          </w:p>
          <w:p w14:paraId="519A0BAE">
            <w:pPr>
              <w:keepNext w:val="0"/>
              <w:keepLines w:val="0"/>
              <w:widowControl/>
              <w:numPr>
                <w:ilvl w:val="0"/>
                <w:numId w:val="2"/>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沥青混凝土种类：中粒式SBS改性沥青（AC-16C）；</w:t>
            </w:r>
          </w:p>
          <w:p w14:paraId="4B50A126">
            <w:pPr>
              <w:keepNext w:val="0"/>
              <w:keepLines w:val="0"/>
              <w:widowControl/>
              <w:numPr>
                <w:ilvl w:val="0"/>
                <w:numId w:val="2"/>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石料粒径：最大粒径19mm；</w:t>
            </w:r>
          </w:p>
          <w:p w14:paraId="32120EF2">
            <w:pPr>
              <w:keepNext w:val="0"/>
              <w:keepLines w:val="0"/>
              <w:widowControl/>
              <w:numPr>
                <w:ilvl w:val="0"/>
                <w:numId w:val="2"/>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厚度：50mm；</w:t>
            </w:r>
          </w:p>
          <w:p w14:paraId="54FEA931">
            <w:pPr>
              <w:keepNext w:val="0"/>
              <w:keepLines w:val="0"/>
              <w:widowControl/>
              <w:numPr>
                <w:ilvl w:val="0"/>
                <w:numId w:val="2"/>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部位：慢行道下面层；</w:t>
            </w:r>
          </w:p>
          <w:p w14:paraId="40EB6313">
            <w:pPr>
              <w:keepNext w:val="0"/>
              <w:keepLines w:val="0"/>
              <w:widowControl/>
              <w:numPr>
                <w:ilvl w:val="0"/>
                <w:numId w:val="0"/>
              </w:numPr>
              <w:suppressLineNumbers w:val="0"/>
              <w:ind w:left="0" w:leftChars="0" w:firstLine="0" w:firstLineChars="0"/>
              <w:jc w:val="left"/>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6、其他：未尽事宜详见设计图纸</w:t>
            </w:r>
          </w:p>
        </w:tc>
        <w:tc>
          <w:tcPr>
            <w:tcW w:w="900" w:type="dxa"/>
            <w:vAlign w:val="center"/>
          </w:tcPr>
          <w:p w14:paraId="44D12537">
            <w:pPr>
              <w:keepNext w:val="0"/>
              <w:keepLines w:val="0"/>
              <w:widowControl/>
              <w:suppressLineNumbers w:val="0"/>
              <w:jc w:val="center"/>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w:t>
            </w:r>
          </w:p>
        </w:tc>
        <w:tc>
          <w:tcPr>
            <w:tcW w:w="1290" w:type="dxa"/>
            <w:vAlign w:val="center"/>
          </w:tcPr>
          <w:p w14:paraId="4A1BC14A">
            <w:pPr>
              <w:keepNext w:val="0"/>
              <w:keepLines w:val="0"/>
              <w:widowControl/>
              <w:suppressLineNumbers w:val="0"/>
              <w:jc w:val="center"/>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4300</w:t>
            </w:r>
          </w:p>
        </w:tc>
        <w:tc>
          <w:tcPr>
            <w:tcW w:w="1425" w:type="dxa"/>
            <w:vAlign w:val="center"/>
          </w:tcPr>
          <w:p w14:paraId="01F26969">
            <w:pPr>
              <w:jc w:val="center"/>
              <w:rPr>
                <w:rFonts w:hint="eastAsia" w:asciiTheme="minorEastAsia" w:hAnsiTheme="minorEastAsia" w:eastAsiaTheme="minorEastAsia" w:cstheme="minorEastAsia"/>
                <w:w w:val="90"/>
                <w:sz w:val="24"/>
                <w:szCs w:val="24"/>
                <w:vertAlign w:val="baseline"/>
                <w:lang w:val="en-US" w:eastAsia="zh-CN"/>
              </w:rPr>
            </w:pPr>
          </w:p>
        </w:tc>
        <w:tc>
          <w:tcPr>
            <w:tcW w:w="1320" w:type="dxa"/>
            <w:vAlign w:val="center"/>
          </w:tcPr>
          <w:p w14:paraId="41D25C63">
            <w:pPr>
              <w:jc w:val="center"/>
              <w:rPr>
                <w:rFonts w:hint="eastAsia" w:asciiTheme="minorEastAsia" w:hAnsiTheme="minorEastAsia" w:eastAsiaTheme="minorEastAsia" w:cstheme="minorEastAsia"/>
                <w:w w:val="90"/>
                <w:sz w:val="24"/>
                <w:szCs w:val="24"/>
                <w:vertAlign w:val="baseline"/>
                <w:lang w:val="en-US" w:eastAsia="zh-CN"/>
              </w:rPr>
            </w:pPr>
          </w:p>
        </w:tc>
        <w:tc>
          <w:tcPr>
            <w:tcW w:w="1222" w:type="dxa"/>
            <w:vMerge w:val="continue"/>
            <w:vAlign w:val="center"/>
          </w:tcPr>
          <w:p w14:paraId="12B49F7E">
            <w:pPr>
              <w:jc w:val="center"/>
              <w:rPr>
                <w:rFonts w:hint="eastAsia" w:asciiTheme="minorEastAsia" w:hAnsiTheme="minorEastAsia" w:eastAsiaTheme="minorEastAsia" w:cstheme="minorEastAsia"/>
                <w:w w:val="90"/>
                <w:sz w:val="24"/>
                <w:szCs w:val="24"/>
                <w:vertAlign w:val="baseline"/>
                <w:lang w:val="en-US" w:eastAsia="zh-CN"/>
              </w:rPr>
            </w:pPr>
          </w:p>
        </w:tc>
      </w:tr>
      <w:tr w14:paraId="15997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vAlign w:val="center"/>
          </w:tcPr>
          <w:p w14:paraId="56103CEC">
            <w:pPr>
              <w:keepNext w:val="0"/>
              <w:keepLines w:val="0"/>
              <w:widowControl/>
              <w:suppressLineNumbers w:val="0"/>
              <w:jc w:val="center"/>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3</w:t>
            </w:r>
          </w:p>
        </w:tc>
        <w:tc>
          <w:tcPr>
            <w:tcW w:w="1470" w:type="dxa"/>
            <w:vAlign w:val="center"/>
          </w:tcPr>
          <w:p w14:paraId="0B537A1B">
            <w:pPr>
              <w:keepNext w:val="0"/>
              <w:keepLines w:val="0"/>
              <w:widowControl/>
              <w:suppressLineNumbers w:val="0"/>
              <w:jc w:val="center"/>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沥青混凝土</w:t>
            </w:r>
          </w:p>
        </w:tc>
        <w:tc>
          <w:tcPr>
            <w:tcW w:w="5730" w:type="dxa"/>
            <w:vAlign w:val="center"/>
          </w:tcPr>
          <w:p w14:paraId="512C28A8">
            <w:pPr>
              <w:keepNext w:val="0"/>
              <w:keepLines w:val="0"/>
              <w:widowControl/>
              <w:numPr>
                <w:ilvl w:val="0"/>
                <w:numId w:val="3"/>
              </w:numPr>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沥青含量：4.0-6.0%；</w:t>
            </w:r>
          </w:p>
          <w:p w14:paraId="18DC4FA0">
            <w:pPr>
              <w:keepNext w:val="0"/>
              <w:keepLines w:val="0"/>
              <w:widowControl/>
              <w:numPr>
                <w:ilvl w:val="0"/>
                <w:numId w:val="3"/>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沥青混凝土种类：细粒式SBS改性沥青（AC-13C）；3、石料粒径：最大粒径16mm；</w:t>
            </w:r>
          </w:p>
          <w:p w14:paraId="583DC186">
            <w:pPr>
              <w:keepNext w:val="0"/>
              <w:keepLines w:val="0"/>
              <w:widowControl/>
              <w:numPr>
                <w:ilvl w:val="0"/>
                <w:numId w:val="0"/>
              </w:numPr>
              <w:suppressLineNumbers w:val="0"/>
              <w:ind w:left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cstheme="minorEastAsia"/>
                <w:i w:val="0"/>
                <w:iCs w:val="0"/>
                <w:color w:val="000000"/>
                <w:kern w:val="0"/>
                <w:sz w:val="24"/>
                <w:szCs w:val="24"/>
                <w:u w:val="none"/>
                <w:lang w:val="en-US" w:eastAsia="zh-CN" w:bidi="ar"/>
              </w:rPr>
              <w:t>4、</w:t>
            </w:r>
            <w:r>
              <w:rPr>
                <w:rFonts w:hint="eastAsia" w:asciiTheme="minorEastAsia" w:hAnsiTheme="minorEastAsia" w:eastAsiaTheme="minorEastAsia" w:cstheme="minorEastAsia"/>
                <w:i w:val="0"/>
                <w:iCs w:val="0"/>
                <w:color w:val="000000"/>
                <w:kern w:val="0"/>
                <w:sz w:val="24"/>
                <w:szCs w:val="24"/>
                <w:u w:val="none"/>
                <w:lang w:val="en-US" w:eastAsia="zh-CN" w:bidi="ar"/>
              </w:rPr>
              <w:t>厚度：30mm；</w:t>
            </w:r>
          </w:p>
          <w:p w14:paraId="56087860">
            <w:pPr>
              <w:keepNext w:val="0"/>
              <w:keepLines w:val="0"/>
              <w:widowControl/>
              <w:numPr>
                <w:ilvl w:val="0"/>
                <w:numId w:val="0"/>
              </w:numPr>
              <w:suppressLineNumbers w:val="0"/>
              <w:ind w:left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cstheme="minorEastAsia"/>
                <w:i w:val="0"/>
                <w:iCs w:val="0"/>
                <w:color w:val="000000"/>
                <w:kern w:val="0"/>
                <w:sz w:val="24"/>
                <w:szCs w:val="24"/>
                <w:u w:val="none"/>
                <w:lang w:val="en-US" w:eastAsia="zh-CN" w:bidi="ar"/>
              </w:rPr>
              <w:t>5、</w:t>
            </w:r>
            <w:r>
              <w:rPr>
                <w:rFonts w:hint="eastAsia" w:asciiTheme="minorEastAsia" w:hAnsiTheme="minorEastAsia" w:eastAsiaTheme="minorEastAsia" w:cstheme="minorEastAsia"/>
                <w:i w:val="0"/>
                <w:iCs w:val="0"/>
                <w:color w:val="000000"/>
                <w:kern w:val="0"/>
                <w:sz w:val="24"/>
                <w:szCs w:val="24"/>
                <w:u w:val="none"/>
                <w:lang w:val="en-US" w:eastAsia="zh-CN" w:bidi="ar"/>
              </w:rPr>
              <w:t>部位：慢行道上面层；</w:t>
            </w:r>
          </w:p>
          <w:p w14:paraId="3F32AD89">
            <w:pPr>
              <w:keepNext w:val="0"/>
              <w:keepLines w:val="0"/>
              <w:widowControl/>
              <w:numPr>
                <w:ilvl w:val="0"/>
                <w:numId w:val="0"/>
              </w:numPr>
              <w:suppressLineNumbers w:val="0"/>
              <w:ind w:left="0" w:leftChars="0" w:firstLine="0" w:firstLineChars="0"/>
              <w:jc w:val="left"/>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6、其他：未尽事宜详见设计图纸</w:t>
            </w:r>
          </w:p>
        </w:tc>
        <w:tc>
          <w:tcPr>
            <w:tcW w:w="900" w:type="dxa"/>
            <w:vAlign w:val="center"/>
          </w:tcPr>
          <w:p w14:paraId="4C8A3968">
            <w:pPr>
              <w:keepNext w:val="0"/>
              <w:keepLines w:val="0"/>
              <w:widowControl/>
              <w:suppressLineNumbers w:val="0"/>
              <w:jc w:val="center"/>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w:t>
            </w:r>
          </w:p>
        </w:tc>
        <w:tc>
          <w:tcPr>
            <w:tcW w:w="1290" w:type="dxa"/>
            <w:vAlign w:val="center"/>
          </w:tcPr>
          <w:p w14:paraId="18022CCF">
            <w:pPr>
              <w:keepNext w:val="0"/>
              <w:keepLines w:val="0"/>
              <w:widowControl/>
              <w:suppressLineNumbers w:val="0"/>
              <w:jc w:val="center"/>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4300</w:t>
            </w:r>
          </w:p>
        </w:tc>
        <w:tc>
          <w:tcPr>
            <w:tcW w:w="1425" w:type="dxa"/>
            <w:vAlign w:val="center"/>
          </w:tcPr>
          <w:p w14:paraId="2DC34C00">
            <w:pPr>
              <w:jc w:val="center"/>
              <w:rPr>
                <w:rFonts w:hint="eastAsia" w:asciiTheme="minorEastAsia" w:hAnsiTheme="minorEastAsia" w:eastAsiaTheme="minorEastAsia" w:cstheme="minorEastAsia"/>
                <w:w w:val="90"/>
                <w:sz w:val="24"/>
                <w:szCs w:val="24"/>
                <w:vertAlign w:val="baseline"/>
                <w:lang w:val="en-US" w:eastAsia="zh-CN"/>
              </w:rPr>
            </w:pPr>
          </w:p>
        </w:tc>
        <w:tc>
          <w:tcPr>
            <w:tcW w:w="1320" w:type="dxa"/>
            <w:vAlign w:val="center"/>
          </w:tcPr>
          <w:p w14:paraId="1835C198">
            <w:pPr>
              <w:jc w:val="center"/>
              <w:rPr>
                <w:rFonts w:hint="eastAsia" w:asciiTheme="minorEastAsia" w:hAnsiTheme="minorEastAsia" w:eastAsiaTheme="minorEastAsia" w:cstheme="minorEastAsia"/>
                <w:w w:val="90"/>
                <w:sz w:val="24"/>
                <w:szCs w:val="24"/>
                <w:vertAlign w:val="baseline"/>
                <w:lang w:val="en-US" w:eastAsia="zh-CN"/>
              </w:rPr>
            </w:pPr>
          </w:p>
        </w:tc>
        <w:tc>
          <w:tcPr>
            <w:tcW w:w="1222" w:type="dxa"/>
            <w:vMerge w:val="continue"/>
            <w:vAlign w:val="center"/>
          </w:tcPr>
          <w:p w14:paraId="75EB4EF9">
            <w:pPr>
              <w:jc w:val="center"/>
              <w:rPr>
                <w:rFonts w:hint="eastAsia" w:asciiTheme="minorEastAsia" w:hAnsiTheme="minorEastAsia" w:eastAsiaTheme="minorEastAsia" w:cstheme="minorEastAsia"/>
                <w:w w:val="90"/>
                <w:sz w:val="24"/>
                <w:szCs w:val="24"/>
                <w:vertAlign w:val="baseline"/>
                <w:lang w:val="en-US" w:eastAsia="zh-CN"/>
              </w:rPr>
            </w:pPr>
          </w:p>
        </w:tc>
      </w:tr>
      <w:tr w14:paraId="50B03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Borders>
              <w:bottom w:val="single" w:color="auto" w:sz="4" w:space="0"/>
            </w:tcBorders>
            <w:vAlign w:val="center"/>
          </w:tcPr>
          <w:p w14:paraId="0CC9BD2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4</w:t>
            </w:r>
          </w:p>
        </w:tc>
        <w:tc>
          <w:tcPr>
            <w:tcW w:w="1470" w:type="dxa"/>
            <w:tcBorders>
              <w:bottom w:val="single" w:color="auto" w:sz="4" w:space="0"/>
            </w:tcBorders>
            <w:vAlign w:val="center"/>
          </w:tcPr>
          <w:p w14:paraId="6E95FE9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标线</w:t>
            </w:r>
          </w:p>
        </w:tc>
        <w:tc>
          <w:tcPr>
            <w:tcW w:w="5730" w:type="dxa"/>
            <w:tcBorders>
              <w:bottom w:val="single" w:color="auto" w:sz="4" w:space="0"/>
            </w:tcBorders>
            <w:vAlign w:val="center"/>
          </w:tcPr>
          <w:p w14:paraId="62201F6B">
            <w:pPr>
              <w:keepNext w:val="0"/>
              <w:keepLines w:val="0"/>
              <w:widowControl/>
              <w:numPr>
                <w:ilvl w:val="0"/>
                <w:numId w:val="4"/>
              </w:numPr>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白色；</w:t>
            </w:r>
          </w:p>
          <w:p w14:paraId="673A1DD5">
            <w:pPr>
              <w:keepNext w:val="0"/>
              <w:keepLines w:val="0"/>
              <w:widowControl/>
              <w:numPr>
                <w:ilvl w:val="0"/>
                <w:numId w:val="4"/>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宽度：100mm;</w:t>
            </w:r>
          </w:p>
          <w:p w14:paraId="602F09BD">
            <w:pPr>
              <w:keepNext w:val="0"/>
              <w:keepLines w:val="0"/>
              <w:widowControl/>
              <w:numPr>
                <w:ilvl w:val="0"/>
                <w:numId w:val="0"/>
              </w:numPr>
              <w:suppressLineNumbers w:val="0"/>
              <w:ind w:left="0" w:leftChars="0" w:firstLine="0" w:firstLine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3、其他：未尽事宜详见设计图纸。</w:t>
            </w:r>
          </w:p>
        </w:tc>
        <w:tc>
          <w:tcPr>
            <w:tcW w:w="900" w:type="dxa"/>
            <w:tcBorders>
              <w:bottom w:val="single" w:color="auto" w:sz="4" w:space="0"/>
            </w:tcBorders>
            <w:vAlign w:val="center"/>
          </w:tcPr>
          <w:p w14:paraId="0C99389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m</w:t>
            </w:r>
          </w:p>
        </w:tc>
        <w:tc>
          <w:tcPr>
            <w:tcW w:w="1290" w:type="dxa"/>
            <w:tcBorders>
              <w:bottom w:val="single" w:color="auto" w:sz="4" w:space="0"/>
            </w:tcBorders>
            <w:vAlign w:val="center"/>
          </w:tcPr>
          <w:p w14:paraId="34A883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1440</w:t>
            </w:r>
          </w:p>
        </w:tc>
        <w:tc>
          <w:tcPr>
            <w:tcW w:w="1425" w:type="dxa"/>
            <w:tcBorders>
              <w:bottom w:val="single" w:color="auto" w:sz="4" w:space="0"/>
            </w:tcBorders>
            <w:vAlign w:val="center"/>
          </w:tcPr>
          <w:p w14:paraId="106F9B56">
            <w:pPr>
              <w:jc w:val="center"/>
              <w:rPr>
                <w:rFonts w:hint="eastAsia" w:asciiTheme="minorEastAsia" w:hAnsiTheme="minorEastAsia" w:eastAsiaTheme="minorEastAsia" w:cstheme="minorEastAsia"/>
                <w:w w:val="90"/>
                <w:sz w:val="24"/>
                <w:szCs w:val="24"/>
                <w:vertAlign w:val="baseline"/>
                <w:lang w:val="en-US" w:eastAsia="zh-CN"/>
              </w:rPr>
            </w:pPr>
          </w:p>
        </w:tc>
        <w:tc>
          <w:tcPr>
            <w:tcW w:w="1320" w:type="dxa"/>
            <w:tcBorders>
              <w:bottom w:val="single" w:color="auto" w:sz="4" w:space="0"/>
            </w:tcBorders>
            <w:vAlign w:val="center"/>
          </w:tcPr>
          <w:p w14:paraId="0C2EA99F">
            <w:pPr>
              <w:jc w:val="center"/>
              <w:rPr>
                <w:rFonts w:hint="eastAsia" w:asciiTheme="minorEastAsia" w:hAnsiTheme="minorEastAsia" w:eastAsiaTheme="minorEastAsia" w:cstheme="minorEastAsia"/>
                <w:w w:val="90"/>
                <w:sz w:val="24"/>
                <w:szCs w:val="24"/>
                <w:vertAlign w:val="baseline"/>
                <w:lang w:val="en-US" w:eastAsia="zh-CN"/>
              </w:rPr>
            </w:pPr>
          </w:p>
        </w:tc>
        <w:tc>
          <w:tcPr>
            <w:tcW w:w="1222" w:type="dxa"/>
            <w:vMerge w:val="continue"/>
            <w:tcBorders>
              <w:bottom w:val="single" w:color="auto" w:sz="4" w:space="0"/>
            </w:tcBorders>
            <w:vAlign w:val="center"/>
          </w:tcPr>
          <w:p w14:paraId="729D3A7C">
            <w:pPr>
              <w:jc w:val="center"/>
              <w:rPr>
                <w:rFonts w:hint="eastAsia" w:asciiTheme="minorEastAsia" w:hAnsiTheme="minorEastAsia" w:eastAsiaTheme="minorEastAsia" w:cstheme="minorEastAsia"/>
                <w:w w:val="90"/>
                <w:sz w:val="24"/>
                <w:szCs w:val="24"/>
                <w:vertAlign w:val="baseline"/>
                <w:lang w:val="en-US" w:eastAsia="zh-CN"/>
              </w:rPr>
            </w:pPr>
          </w:p>
        </w:tc>
      </w:tr>
      <w:tr w14:paraId="5B29A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4168" w:type="dxa"/>
            <w:gridSpan w:val="8"/>
            <w:tcBorders>
              <w:top w:val="single" w:color="auto" w:sz="4" w:space="0"/>
              <w:left w:val="nil"/>
              <w:bottom w:val="nil"/>
              <w:right w:val="nil"/>
            </w:tcBorders>
            <w:vAlign w:val="center"/>
          </w:tcPr>
          <w:p w14:paraId="42194D53">
            <w:pPr>
              <w:jc w:val="left"/>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注：注明材料参数及税点。</w:t>
            </w:r>
          </w:p>
        </w:tc>
      </w:tr>
    </w:tbl>
    <w:p w14:paraId="6E161728">
      <w:pPr>
        <w:spacing w:line="600" w:lineRule="exact"/>
        <w:jc w:val="both"/>
        <w:textAlignment w:val="baseline"/>
        <w:rPr>
          <w:rFonts w:ascii="Arial Narrow" w:hAnsi="Arial Narrow" w:eastAsia="方正大标宋简体" w:cs="Times New Roman"/>
          <w:w w:val="90"/>
          <w:sz w:val="48"/>
          <w:szCs w:val="28"/>
          <w:lang w:val="en-US" w:eastAsia="zh-CN"/>
        </w:rPr>
        <w:sectPr>
          <w:headerReference r:id="rId5" w:type="default"/>
          <w:pgSz w:w="16838" w:h="11906" w:orient="landscape"/>
          <w:pgMar w:top="1800" w:right="1440" w:bottom="1800" w:left="1440" w:header="851" w:footer="992" w:gutter="0"/>
          <w:pgNumType w:fmt="decimal"/>
          <w:cols w:space="425" w:num="1"/>
          <w:docGrid w:type="lines" w:linePitch="312" w:charSpace="0"/>
        </w:sectPr>
      </w:pPr>
    </w:p>
    <w:p w14:paraId="697A4DD1">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三、询价要求</w:t>
      </w:r>
    </w:p>
    <w:p w14:paraId="76A0C60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1、工期要求：</w:t>
      </w:r>
    </w:p>
    <w:p w14:paraId="38BC2A38">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1.1本项目施工工期要求：本项目在项目部通知具备施工条件后2日内进场，沥青摊铺为3天，标线施工为2天，总工期为5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14:paraId="1926C553">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 报价方以询价方工程进度计划为依据，必须确保各阶段计划地实现。</w:t>
      </w:r>
    </w:p>
    <w:p w14:paraId="7359FA6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  对于以下原因造成推迟工期的，经询价人确认，工期相应顺延。</w:t>
      </w:r>
    </w:p>
    <w:p w14:paraId="71DAEBC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a. 因战争、动乱、自然灾害或非询价人、报价人责任造成的爆炸、火灾等不可抗力；</w:t>
      </w:r>
    </w:p>
    <w:p w14:paraId="5A9E192A">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b. 报价人以书面形式提出申请，但仍未能从询价方获得施工批示、图纸等，致使施工不能正常进行的；</w:t>
      </w:r>
    </w:p>
    <w:p w14:paraId="6129853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c. 询价人同意工期顺延的其他情况。</w:t>
      </w:r>
    </w:p>
    <w:p w14:paraId="45A62664">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2、工程质量：</w:t>
      </w:r>
    </w:p>
    <w:p w14:paraId="74BE40BB">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14:paraId="2F86D346">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在施工过程中由询价方、业主及监理发现工程质量问题或材料质量问题，视情节轻重分别给予报价方500～10000元罚款，对履犯不改的第二次两倍、第三次四倍……以此类推，所有罚款均在当次工程结算款中兑现。</w:t>
      </w:r>
    </w:p>
    <w:p w14:paraId="6AAE11D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3、安全文明施工要求：</w:t>
      </w:r>
    </w:p>
    <w:p w14:paraId="58835468">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14:paraId="068FF4E7">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3.2  报价人必须服从询价人现场管理，严格执行各项规章制度。进入工地必须戴好安全帽，特殊工种执证操作，认真严格执行国家及地方、业主与询价人对安全生产、文明施工的规定制度和要求。</w:t>
      </w:r>
    </w:p>
    <w:p w14:paraId="78C2751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4、工程款支付：</w:t>
      </w:r>
    </w:p>
    <w:p w14:paraId="3103762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2"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本工程无预付款，进度款在该工程进度验收合格后付至已完工程费用的70%，该工程竣工验收合格后付至95%,余下5%为质量保证金，2年质量保修期满以后无息付清。</w:t>
      </w:r>
      <w:r>
        <w:rPr>
          <w:rFonts w:hint="eastAsia" w:ascii="宋体" w:hAnsi="宋体" w:eastAsia="宋体" w:cs="宋体"/>
          <w:color w:val="000000" w:themeColor="text1"/>
          <w:sz w:val="24"/>
          <w:szCs w:val="24"/>
          <w:highlight w:val="none"/>
          <w:lang w:val="en-US" w:eastAsia="zh-CN"/>
          <w14:textFill>
            <w14:solidFill>
              <w14:schemeClr w14:val="tx1"/>
            </w14:solidFill>
          </w14:textFill>
        </w:rPr>
        <w:t>报价方在领取工程款前，必须向询价方提交合法有效的增值税专用发票，否则，工程款不予支付。</w:t>
      </w:r>
    </w:p>
    <w:p w14:paraId="3D80362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5、报价要求：</w:t>
      </w:r>
    </w:p>
    <w:p w14:paraId="03703B7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9%增值专用税</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14:paraId="6A264A0A">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6、工程结算要求：</w:t>
      </w:r>
    </w:p>
    <w:p w14:paraId="5AD3BDB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以实际施工工程量按选定报价文件综合单价进行结算。</w:t>
      </w:r>
    </w:p>
    <w:p w14:paraId="32D6B3C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7、其他要求：</w:t>
      </w:r>
    </w:p>
    <w:p w14:paraId="042D623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7.1报价人需按询价人的要求编制工程施工方案，并及时报送与本工程有关的各种报表等资料。</w:t>
      </w:r>
    </w:p>
    <w:p w14:paraId="7FD8614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7.2报价人需服从询价人现场人员的统一指挥，按设计施工图和规范要求组织施工，确保工程质量和施工安全。</w:t>
      </w:r>
    </w:p>
    <w:p w14:paraId="1A7A90D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7.3报价人保证施工现场符合文明施工的要求。</w:t>
      </w:r>
    </w:p>
    <w:p w14:paraId="372B2469">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7.4报价人需做好日常施工资料的收集整理工作，保证交工资料的完善准确。</w:t>
      </w:r>
    </w:p>
    <w:p w14:paraId="0682A8B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7.5报价人需充分了解施工现场内供水、供电、运输等条件，成交后不得以不完全了解现场状况为由，而向询价人提出额外的费用补偿或延长施工期限。</w:t>
      </w:r>
    </w:p>
    <w:p w14:paraId="0CEF275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14:paraId="4BDADC94">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四、询价日程安排：</w:t>
      </w:r>
    </w:p>
    <w:p w14:paraId="4BAB3DA0">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1、参加询价单位，于</w:t>
      </w:r>
      <w:r>
        <w:rPr>
          <w:rFonts w:hint="eastAsia" w:ascii="宋体" w:hAnsi="宋体" w:eastAsia="宋体" w:cs="宋体"/>
          <w:color w:val="auto"/>
          <w:sz w:val="24"/>
          <w:szCs w:val="24"/>
          <w:highlight w:val="none"/>
          <w:u w:val="single"/>
          <w:lang w:val="en-US" w:eastAsia="zh-CN"/>
        </w:rPr>
        <w:t>2024</w:t>
      </w:r>
      <w:r>
        <w:rPr>
          <w:rFonts w:hint="eastAsia" w:ascii="宋体" w:hAnsi="宋体" w:eastAsia="宋体" w:cs="宋体"/>
          <w:color w:val="auto"/>
          <w:sz w:val="24"/>
          <w:szCs w:val="24"/>
          <w:highlight w:val="none"/>
          <w:lang w:val="en-US" w:eastAsia="zh-CN"/>
        </w:rPr>
        <w:t>年</w:t>
      </w:r>
      <w:r>
        <w:rPr>
          <w:rFonts w:hint="eastAsia" w:ascii="宋体" w:hAnsi="宋体" w:eastAsia="宋体" w:cs="宋体"/>
          <w:color w:val="auto"/>
          <w:sz w:val="24"/>
          <w:szCs w:val="24"/>
          <w:highlight w:val="none"/>
          <w:u w:val="single"/>
          <w:lang w:val="en-US" w:eastAsia="zh-CN"/>
        </w:rPr>
        <w:t>8</w:t>
      </w:r>
      <w:r>
        <w:rPr>
          <w:rFonts w:hint="eastAsia" w:ascii="宋体" w:hAnsi="宋体" w:eastAsia="宋体" w:cs="宋体"/>
          <w:color w:val="auto"/>
          <w:sz w:val="24"/>
          <w:szCs w:val="24"/>
          <w:highlight w:val="none"/>
          <w:lang w:val="en-US" w:eastAsia="zh-CN"/>
        </w:rPr>
        <w:t>月</w:t>
      </w:r>
      <w:r>
        <w:rPr>
          <w:rFonts w:hint="eastAsia" w:ascii="宋体" w:hAnsi="宋体" w:eastAsia="宋体" w:cs="宋体"/>
          <w:color w:val="auto"/>
          <w:sz w:val="24"/>
          <w:szCs w:val="24"/>
          <w:highlight w:val="none"/>
          <w:u w:val="single"/>
          <w:lang w:val="en-US" w:eastAsia="zh-CN"/>
        </w:rPr>
        <w:t>1</w:t>
      </w:r>
      <w:r>
        <w:rPr>
          <w:rFonts w:hint="eastAsia" w:ascii="宋体" w:hAnsi="宋体" w:eastAsia="宋体" w:cs="宋体"/>
          <w:color w:val="auto"/>
          <w:sz w:val="24"/>
          <w:szCs w:val="24"/>
          <w:highlight w:val="none"/>
          <w:lang w:val="en-US" w:eastAsia="zh-CN"/>
        </w:rPr>
        <w:t>日，登录安徽新集矿山建设工程有限公司网站www.ahxjjg.com领取询价资料进行报名，截止</w:t>
      </w:r>
      <w:r>
        <w:rPr>
          <w:rFonts w:hint="eastAsia" w:ascii="宋体" w:hAnsi="宋体" w:eastAsia="宋体" w:cs="宋体"/>
          <w:color w:val="auto"/>
          <w:sz w:val="24"/>
          <w:szCs w:val="24"/>
          <w:highlight w:val="none"/>
          <w:u w:val="single"/>
          <w:lang w:val="en-US" w:eastAsia="zh-CN"/>
        </w:rPr>
        <w:t>2024</w:t>
      </w:r>
      <w:r>
        <w:rPr>
          <w:rFonts w:hint="eastAsia" w:ascii="宋体" w:hAnsi="宋体" w:eastAsia="宋体" w:cs="宋体"/>
          <w:color w:val="auto"/>
          <w:sz w:val="24"/>
          <w:szCs w:val="24"/>
          <w:highlight w:val="none"/>
          <w:u w:val="none"/>
          <w:lang w:val="en-US" w:eastAsia="zh-CN"/>
        </w:rPr>
        <w:t>年</w:t>
      </w:r>
      <w:r>
        <w:rPr>
          <w:rFonts w:hint="eastAsia" w:ascii="宋体" w:hAnsi="宋体" w:eastAsia="宋体" w:cs="宋体"/>
          <w:color w:val="auto"/>
          <w:sz w:val="24"/>
          <w:szCs w:val="24"/>
          <w:highlight w:val="none"/>
          <w:u w:val="single"/>
          <w:lang w:val="en-US" w:eastAsia="zh-CN"/>
        </w:rPr>
        <w:t>8</w:t>
      </w:r>
      <w:r>
        <w:rPr>
          <w:rFonts w:hint="eastAsia" w:ascii="宋体" w:hAnsi="宋体" w:eastAsia="宋体" w:cs="宋体"/>
          <w:color w:val="auto"/>
          <w:sz w:val="24"/>
          <w:szCs w:val="24"/>
          <w:highlight w:val="none"/>
          <w:u w:val="none"/>
          <w:lang w:val="en-US" w:eastAsia="zh-CN"/>
        </w:rPr>
        <w:t>月</w:t>
      </w:r>
      <w:r>
        <w:rPr>
          <w:rFonts w:hint="eastAsia" w:ascii="宋体" w:hAnsi="宋体" w:eastAsia="宋体" w:cs="宋体"/>
          <w:color w:val="auto"/>
          <w:sz w:val="24"/>
          <w:szCs w:val="24"/>
          <w:highlight w:val="none"/>
          <w:u w:val="single"/>
          <w:lang w:val="en-US" w:eastAsia="zh-CN"/>
        </w:rPr>
        <w:t>9</w:t>
      </w:r>
      <w:r>
        <w:rPr>
          <w:rFonts w:hint="eastAsia" w:ascii="宋体" w:hAnsi="宋体" w:eastAsia="宋体" w:cs="宋体"/>
          <w:color w:val="auto"/>
          <w:sz w:val="24"/>
          <w:szCs w:val="24"/>
          <w:highlight w:val="none"/>
          <w:lang w:val="en-US" w:eastAsia="zh-CN"/>
        </w:rPr>
        <w:t>日上午</w:t>
      </w:r>
      <w:r>
        <w:rPr>
          <w:rFonts w:hint="eastAsia" w:ascii="宋体" w:hAnsi="宋体" w:eastAsia="宋体" w:cs="宋体"/>
          <w:color w:val="auto"/>
          <w:sz w:val="24"/>
          <w:szCs w:val="24"/>
          <w:highlight w:val="none"/>
          <w:u w:val="single"/>
          <w:lang w:val="en-US" w:eastAsia="zh-CN"/>
        </w:rPr>
        <w:t>10:00</w:t>
      </w:r>
      <w:r>
        <w:rPr>
          <w:rFonts w:hint="eastAsia" w:ascii="宋体" w:hAnsi="宋体" w:eastAsia="宋体" w:cs="宋体"/>
          <w:color w:val="auto"/>
          <w:sz w:val="24"/>
          <w:szCs w:val="24"/>
          <w:highlight w:val="none"/>
          <w:lang w:val="en-US" w:eastAsia="zh-CN"/>
        </w:rPr>
        <w:t>时报名结束。</w:t>
      </w:r>
    </w:p>
    <w:p w14:paraId="57F47D08">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2、投标文件送达时间：</w:t>
      </w:r>
      <w:r>
        <w:rPr>
          <w:rFonts w:hint="eastAsia" w:ascii="宋体" w:hAnsi="宋体" w:eastAsia="宋体" w:cs="宋体"/>
          <w:color w:val="auto"/>
          <w:kern w:val="2"/>
          <w:sz w:val="24"/>
          <w:szCs w:val="24"/>
          <w:highlight w:val="none"/>
          <w:u w:val="single"/>
          <w:lang w:val="en-US" w:eastAsia="zh-CN" w:bidi="ar-SA"/>
        </w:rPr>
        <w:t>2024</w:t>
      </w:r>
      <w:r>
        <w:rPr>
          <w:rFonts w:hint="eastAsia" w:ascii="宋体" w:hAnsi="宋体" w:eastAsia="宋体" w:cs="宋体"/>
          <w:color w:val="auto"/>
          <w:kern w:val="2"/>
          <w:sz w:val="24"/>
          <w:szCs w:val="24"/>
          <w:highlight w:val="none"/>
          <w:lang w:val="en-US" w:eastAsia="zh-CN" w:bidi="ar-SA"/>
        </w:rPr>
        <w:t>年</w:t>
      </w:r>
      <w:r>
        <w:rPr>
          <w:rFonts w:hint="eastAsia" w:ascii="宋体" w:hAnsi="宋体" w:eastAsia="宋体" w:cs="宋体"/>
          <w:color w:val="auto"/>
          <w:kern w:val="2"/>
          <w:sz w:val="24"/>
          <w:szCs w:val="24"/>
          <w:highlight w:val="none"/>
          <w:u w:val="single"/>
          <w:lang w:val="en-US" w:eastAsia="zh-CN" w:bidi="ar-SA"/>
        </w:rPr>
        <w:t>8</w:t>
      </w:r>
      <w:r>
        <w:rPr>
          <w:rFonts w:hint="eastAsia" w:ascii="宋体" w:hAnsi="宋体" w:eastAsia="宋体" w:cs="宋体"/>
          <w:color w:val="auto"/>
          <w:kern w:val="2"/>
          <w:sz w:val="24"/>
          <w:szCs w:val="24"/>
          <w:highlight w:val="none"/>
          <w:lang w:val="en-US" w:eastAsia="zh-CN" w:bidi="ar-SA"/>
        </w:rPr>
        <w:t>月</w:t>
      </w:r>
      <w:r>
        <w:rPr>
          <w:rFonts w:hint="eastAsia" w:ascii="宋体" w:hAnsi="宋体" w:eastAsia="宋体" w:cs="宋体"/>
          <w:color w:val="auto"/>
          <w:kern w:val="2"/>
          <w:sz w:val="24"/>
          <w:szCs w:val="24"/>
          <w:highlight w:val="none"/>
          <w:u w:val="single"/>
          <w:lang w:val="en-US" w:eastAsia="zh-CN" w:bidi="ar-SA"/>
        </w:rPr>
        <w:t>9</w:t>
      </w:r>
      <w:r>
        <w:rPr>
          <w:rFonts w:hint="eastAsia" w:ascii="宋体" w:hAnsi="宋体" w:eastAsia="宋体" w:cs="宋体"/>
          <w:color w:val="auto"/>
          <w:kern w:val="2"/>
          <w:sz w:val="24"/>
          <w:szCs w:val="24"/>
          <w:highlight w:val="none"/>
          <w:lang w:val="en-US" w:eastAsia="zh-CN" w:bidi="ar-SA"/>
        </w:rPr>
        <w:t>日上午10：00前。</w:t>
      </w:r>
    </w:p>
    <w:p w14:paraId="4035EB5B">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3、地址：安徽省淮南市田区新舜大厦7楼开标室。</w:t>
      </w:r>
    </w:p>
    <w:p w14:paraId="4480AC8C">
      <w:pPr>
        <w:pStyle w:val="3"/>
        <w:rPr>
          <w:rFonts w:hint="default"/>
          <w:lang w:val="en-US" w:eastAsia="zh-CN"/>
        </w:rPr>
      </w:pPr>
    </w:p>
    <w:p w14:paraId="02952A85">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五、报价文件组成：</w:t>
      </w:r>
    </w:p>
    <w:p w14:paraId="1DDA536B">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报价文件由商务文件和技术文件两部分组成。</w:t>
      </w:r>
    </w:p>
    <w:p w14:paraId="12D37FC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1、技术文件：</w:t>
      </w:r>
    </w:p>
    <w:p w14:paraId="4CDDBFC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1.1、技术文件的编制</w:t>
      </w:r>
    </w:p>
    <w:p w14:paraId="4321B97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1.2、总说明</w:t>
      </w:r>
    </w:p>
    <w:p w14:paraId="107F6319">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1.3、施工专项方案包括：</w:t>
      </w:r>
    </w:p>
    <w:p w14:paraId="6230878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①施工技术方案；（必备，缺项则报价文件作废。若方案经评审不合格，不再进入商务报价评审，技术文件内必须包含沥青砼面层、标线及盲道施工详细做法）</w:t>
      </w:r>
    </w:p>
    <w:p w14:paraId="42637EC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② 详细的施工进度计划及确保计划实施的措施；</w:t>
      </w:r>
    </w:p>
    <w:p w14:paraId="154BE48B">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③ 拟投入本工程的施工机械型号、数量等设备清单；</w:t>
      </w:r>
    </w:p>
    <w:p w14:paraId="3F4E3E4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④ 确保安全与文明施工的技术措施。</w:t>
      </w:r>
    </w:p>
    <w:p w14:paraId="7280ED0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1.4、报价单位的营业执照、资法人身份证明资料；</w:t>
      </w:r>
    </w:p>
    <w:p w14:paraId="08608E8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1.5、报价单位近三年类似工程经验和业绩等详细资料；</w:t>
      </w:r>
    </w:p>
    <w:p w14:paraId="79CD5FC8">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2、商务文件：</w:t>
      </w:r>
    </w:p>
    <w:p w14:paraId="7655C858">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2.1、《报价书》（详见询价文件附件一）；</w:t>
      </w:r>
    </w:p>
    <w:p w14:paraId="591F877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2.2、《工程报价明细表》</w:t>
      </w:r>
    </w:p>
    <w:p w14:paraId="47F80D17">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2.3、其他说明</w:t>
      </w:r>
    </w:p>
    <w:p w14:paraId="3F877FE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（1）本技术规格及要求均为基本要求，报价人可投与之同档次或更高档次的相应材料，低于该档次将导致报价无效。</w:t>
      </w:r>
    </w:p>
    <w:p w14:paraId="722A3F5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（2）报价人详细说明：沥青砼及标线材料等须为优质产品。 </w:t>
      </w:r>
    </w:p>
    <w:p w14:paraId="6DB4169B">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六、询价其他说明：</w:t>
      </w:r>
    </w:p>
    <w:p w14:paraId="342FB68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1、报价人必须在报名日期截止前缴纳报价保证金，保证金</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贰</w:t>
      </w:r>
      <w:r>
        <w:rPr>
          <w:rFonts w:hint="eastAsia" w:ascii="宋体" w:hAnsi="宋体" w:eastAsia="宋体" w:cs="宋体"/>
          <w:color w:val="000000" w:themeColor="text1"/>
          <w:sz w:val="24"/>
          <w:szCs w:val="24"/>
          <w:highlight w:val="none"/>
          <w:lang w:val="en-US" w:eastAsia="zh-CN"/>
          <w14:textFill>
            <w14:solidFill>
              <w14:schemeClr w14:val="tx1"/>
            </w14:solidFill>
          </w14:textFill>
        </w:rPr>
        <w:t>万元（保证金汇款需备注：</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潘集经济开发区（北区）基础设施提升项目经四路新建慢行道沥青面层及标线施工工程报价保证金</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14:paraId="42F56DB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2、报价保证金汇缴及退付以转账形式进行。报价保证金款项必须从报价人的账户中汇出。报价保证金必须在报名日期截止前到达安徽新集建设工程有限公司银行账户。</w:t>
      </w:r>
    </w:p>
    <w:p w14:paraId="566F36DA">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名称：安徽新集矿山建设工程有限公司</w:t>
      </w:r>
    </w:p>
    <w:p w14:paraId="4C2EDE8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账号：181205791225  </w:t>
      </w:r>
    </w:p>
    <w:p w14:paraId="27E9796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开户行：中国银行淮南新集支行</w:t>
      </w:r>
    </w:p>
    <w:p w14:paraId="11AE4539">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地址：淮南市毛集实验区工业园区</w:t>
      </w:r>
    </w:p>
    <w:p w14:paraId="7B1BB70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如被选定为成交报价人，询价人将不退还报价人报价保证金，此报价保证金将做为履约保证金。如未被选中的报价人，询价人将在开启报价文件后10个工作日内退还报价人报价保证金。</w:t>
      </w:r>
    </w:p>
    <w:p w14:paraId="4C9C6FDB">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3、报价人必须认真检查、清点领取的询价文件，确定是否与承包范围相符，如有任何缺漏、字迹不清楚等，报价人必须立即通知询价人，以便纠正上述的缺漏、字迹不清楚等。</w:t>
      </w:r>
    </w:p>
    <w:p w14:paraId="3BEA88B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4、报价人不得在未经授权之前对询价文件的内容作任何修改或删节，否则其报价文件将作废而不被接受。</w:t>
      </w:r>
    </w:p>
    <w:p w14:paraId="3FBD710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5、报价人须将上述报价文件一式两份加盖单位公章及法人代表或法人委托人印鉴后装于密封的封袋内并加盖骑缝章。</w:t>
      </w:r>
    </w:p>
    <w:p w14:paraId="0671137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6、不论报价人的报价结果如何，报价人应自行承担报价所发生的任何费用。</w:t>
      </w:r>
    </w:p>
    <w:p w14:paraId="26DA7277">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7、本工程的报价有效期为报价截止日起计30个日历天以内。</w:t>
      </w:r>
    </w:p>
    <w:p w14:paraId="0665E866">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8、报价后，若询价单位对报价文件有疑问，询价人可通知报价单位进行询问。</w:t>
      </w:r>
    </w:p>
    <w:p w14:paraId="39A45DB4">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9、询价人不须对未报价人做不报价的解释；但会电话通知不报价或报价结果。</w:t>
      </w:r>
    </w:p>
    <w:p w14:paraId="486C1FB9">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10. 确定报价：本次询价为满足三家及以上经综合评价考察合格后，合理优质低价报价，两家转为竞争性谈判，一家转为单一谈判。</w:t>
      </w:r>
    </w:p>
    <w:p w14:paraId="78530CCA">
      <w:pPr>
        <w:keepNext w:val="0"/>
        <w:keepLines w:val="0"/>
        <w:pageBreakBefore w:val="0"/>
        <w:widowControl w:val="0"/>
        <w:tabs>
          <w:tab w:val="left" w:pos="555"/>
        </w:tabs>
        <w:kinsoku/>
        <w:wordWrap/>
        <w:overflowPunct/>
        <w:topLinePunct w:val="0"/>
        <w:autoSpaceDE/>
        <w:autoSpaceDN/>
        <w:bidi w:val="0"/>
        <w:adjustRightInd/>
        <w:snapToGrid/>
        <w:spacing w:line="600" w:lineRule="auto"/>
        <w:ind w:firstLine="562" w:firstLineChars="200"/>
        <w:textAlignment w:val="baseline"/>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七、询价声明：</w:t>
      </w:r>
    </w:p>
    <w:p w14:paraId="72A1C4E0">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1、本次询价，询价人设有最高报价限价并在开启报价时公布，超过最高限价的报价将被否定。</w:t>
      </w:r>
    </w:p>
    <w:p w14:paraId="33E3C1A3">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2、再次强调：严禁报价人以任何类似围标、串标形式的行为，如发现报价人有类似围标、串标行为，没收报价保证金，永久清理出询价人合作供应商范围，并由报价人承担由此带来的所有责任。</w:t>
      </w:r>
    </w:p>
    <w:p w14:paraId="7B224FF7">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3、报价文件要求在施工中报价人必须按所提供的材料参数及配合比进行施工。</w:t>
      </w:r>
    </w:p>
    <w:p w14:paraId="208CC87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4、本次询价在公司官网上发布询价公告及询价文件，询价人对本次询价具有解释权。</w:t>
      </w:r>
    </w:p>
    <w:p w14:paraId="112EA09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附件1：《报价书》及《工程报价明细表》</w:t>
      </w:r>
    </w:p>
    <w:p w14:paraId="4B9EE396">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附件2：法人授权委托书</w:t>
      </w:r>
    </w:p>
    <w:p w14:paraId="09EB3AC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询价人联系地址：</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淮南市潘集经济开发区（北区）基础设施提升项目部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p w14:paraId="22F2805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联系人（商务）：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胡亮</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p w14:paraId="2FE55369">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电话：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13956467462 </w:t>
      </w:r>
    </w:p>
    <w:p w14:paraId="350FC766">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sectPr>
          <w:headerReference r:id="rId6" w:type="default"/>
          <w:pgSz w:w="11906" w:h="16838"/>
          <w:pgMar w:top="1440" w:right="1800" w:bottom="1440" w:left="1800" w:header="851" w:footer="992" w:gutter="0"/>
          <w:pgNumType w:fmt="decimal"/>
          <w:cols w:space="425" w:num="1"/>
          <w:docGrid w:type="lines" w:linePitch="312" w:charSpace="0"/>
        </w:sectPr>
      </w:pPr>
      <w:r>
        <w:rPr>
          <w:rFonts w:hint="eastAsia" w:ascii="宋体" w:hAnsi="宋体" w:eastAsia="宋体" w:cs="宋体"/>
          <w:color w:val="000000" w:themeColor="text1"/>
          <w:sz w:val="24"/>
          <w:szCs w:val="24"/>
          <w:highlight w:val="none"/>
          <w:lang w:val="en-US" w:eastAsia="zh-CN"/>
          <w14:textFill>
            <w14:solidFill>
              <w14:schemeClr w14:val="tx1"/>
            </w14:solidFill>
          </w14:textFill>
        </w:rPr>
        <w:t>潘集项目联系人（现场负责人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种发瑾</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电话：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18655492787</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1"/>
        <w:gridCol w:w="1545"/>
        <w:gridCol w:w="5640"/>
        <w:gridCol w:w="735"/>
        <w:gridCol w:w="1260"/>
        <w:gridCol w:w="1260"/>
        <w:gridCol w:w="1241"/>
        <w:gridCol w:w="1772"/>
      </w:tblGrid>
      <w:tr w14:paraId="63327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14174" w:type="dxa"/>
            <w:gridSpan w:val="8"/>
            <w:tcBorders>
              <w:top w:val="nil"/>
              <w:left w:val="nil"/>
              <w:bottom w:val="nil"/>
              <w:right w:val="nil"/>
            </w:tcBorders>
          </w:tcPr>
          <w:p w14:paraId="0B37B35A">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Theme="minorEastAsia" w:hAnsiTheme="minorEastAsia" w:eastAsiaTheme="minorEastAsia" w:cstheme="minorEastAsia"/>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color w:val="000000"/>
                <w:sz w:val="24"/>
                <w:szCs w:val="24"/>
              </w:rPr>
              <w:t>附件1：</w:t>
            </w:r>
          </w:p>
        </w:tc>
      </w:tr>
      <w:tr w14:paraId="08A17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14174" w:type="dxa"/>
            <w:gridSpan w:val="8"/>
            <w:tcBorders>
              <w:top w:val="nil"/>
              <w:left w:val="nil"/>
              <w:bottom w:val="nil"/>
              <w:right w:val="nil"/>
            </w:tcBorders>
            <w:vAlign w:val="center"/>
          </w:tcPr>
          <w:p w14:paraId="32E996F6">
            <w:pPr>
              <w:keepNext w:val="0"/>
              <w:keepLines w:val="0"/>
              <w:pageBreakBefore w:val="0"/>
              <w:widowControl w:val="0"/>
              <w:tabs>
                <w:tab w:val="left" w:pos="555"/>
              </w:tabs>
              <w:kinsoku/>
              <w:wordWrap/>
              <w:overflowPunct/>
              <w:topLinePunct w:val="0"/>
              <w:autoSpaceDE/>
              <w:autoSpaceDN/>
              <w:bidi w:val="0"/>
              <w:adjustRightInd/>
              <w:snapToGrid/>
              <w:spacing w:line="480" w:lineRule="auto"/>
              <w:jc w:val="center"/>
              <w:textAlignment w:val="baseline"/>
              <w:rPr>
                <w:rFonts w:hint="eastAsia" w:asciiTheme="minorEastAsia" w:hAnsiTheme="minorEastAsia" w:eastAsiaTheme="minorEastAsia" w:cstheme="minorEastAsia"/>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b/>
                <w:bCs/>
                <w:color w:val="000000"/>
                <w:sz w:val="40"/>
                <w:szCs w:val="32"/>
              </w:rPr>
              <w:t>报价书</w:t>
            </w:r>
          </w:p>
        </w:tc>
      </w:tr>
      <w:tr w14:paraId="1D89F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14174" w:type="dxa"/>
            <w:gridSpan w:val="8"/>
            <w:tcBorders>
              <w:top w:val="nil"/>
              <w:left w:val="nil"/>
              <w:bottom w:val="nil"/>
              <w:right w:val="nil"/>
            </w:tcBorders>
            <w:vAlign w:val="center"/>
          </w:tcPr>
          <w:p w14:paraId="72AA5794">
            <w:pPr>
              <w:spacing w:line="360" w:lineRule="auto"/>
              <w:jc w:val="left"/>
              <w:rPr>
                <w:rFonts w:hint="eastAsia" w:asciiTheme="minorEastAsia" w:hAnsiTheme="minorEastAsia" w:eastAsiaTheme="minorEastAsia" w:cstheme="minorEastAsia"/>
                <w:b w:val="0"/>
                <w:bCs w:val="0"/>
                <w:color w:val="000000"/>
                <w:kern w:val="2"/>
                <w:sz w:val="24"/>
                <w:szCs w:val="24"/>
                <w:lang w:val="en-US" w:eastAsia="zh-CN" w:bidi="ar-SA"/>
              </w:rPr>
            </w:pPr>
            <w:r>
              <w:rPr>
                <w:rFonts w:hint="eastAsia" w:asciiTheme="minorEastAsia" w:hAnsiTheme="minorEastAsia" w:eastAsiaTheme="minorEastAsia" w:cstheme="minorEastAsia"/>
                <w:color w:val="000000"/>
                <w:sz w:val="24"/>
              </w:rPr>
              <w:t>安徽新集矿山建设工程有限公司：</w:t>
            </w:r>
          </w:p>
        </w:tc>
      </w:tr>
      <w:tr w14:paraId="3DD18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14174" w:type="dxa"/>
            <w:gridSpan w:val="8"/>
            <w:tcBorders>
              <w:top w:val="nil"/>
              <w:left w:val="nil"/>
              <w:bottom w:val="nil"/>
              <w:right w:val="nil"/>
            </w:tcBorders>
            <w:vAlign w:val="center"/>
          </w:tcPr>
          <w:p w14:paraId="0CF8E498">
            <w:pPr>
              <w:spacing w:line="360" w:lineRule="auto"/>
              <w:ind w:firstLine="480" w:firstLineChars="200"/>
              <w:jc w:val="left"/>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b w:val="0"/>
                <w:bCs w:val="0"/>
                <w:color w:val="000000"/>
                <w:kern w:val="2"/>
                <w:sz w:val="24"/>
                <w:szCs w:val="24"/>
                <w:lang w:val="en-US" w:eastAsia="zh-CN" w:bidi="ar-SA"/>
              </w:rPr>
              <w:t>根据已收到潘集经济开发区（北区）基础设施提升项目经四路新建慢行道沥青面层及标线施工工程的询价文件，我单位经考察现</w:t>
            </w:r>
          </w:p>
        </w:tc>
      </w:tr>
      <w:tr w14:paraId="0A19B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trPr>
        <w:tc>
          <w:tcPr>
            <w:tcW w:w="14174" w:type="dxa"/>
            <w:gridSpan w:val="8"/>
            <w:tcBorders>
              <w:top w:val="nil"/>
              <w:left w:val="nil"/>
              <w:bottom w:val="nil"/>
              <w:right w:val="nil"/>
            </w:tcBorders>
            <w:vAlign w:val="center"/>
          </w:tcPr>
          <w:p w14:paraId="62C618FC">
            <w:pPr>
              <w:pStyle w:val="3"/>
              <w:jc w:val="left"/>
              <w:rPr>
                <w:rFonts w:hint="eastAsia"/>
                <w:lang w:val="en-US" w:eastAsia="zh-CN"/>
              </w:rPr>
            </w:pPr>
            <w:r>
              <w:rPr>
                <w:rFonts w:hint="eastAsia" w:asciiTheme="minorEastAsia" w:hAnsiTheme="minorEastAsia" w:eastAsiaTheme="minorEastAsia" w:cstheme="minorEastAsia"/>
                <w:b w:val="0"/>
                <w:bCs w:val="0"/>
                <w:color w:val="000000"/>
                <w:kern w:val="2"/>
                <w:sz w:val="24"/>
                <w:szCs w:val="24"/>
                <w:lang w:val="en-US" w:eastAsia="zh-CN" w:bidi="ar-SA"/>
              </w:rPr>
              <w:t>场和研究上述工程询价文件后，我方报价如下：</w:t>
            </w:r>
          </w:p>
        </w:tc>
      </w:tr>
      <w:tr w14:paraId="0C930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14174" w:type="dxa"/>
            <w:gridSpan w:val="8"/>
            <w:tcBorders>
              <w:top w:val="nil"/>
              <w:left w:val="nil"/>
              <w:bottom w:val="single" w:color="auto" w:sz="4" w:space="0"/>
              <w:right w:val="nil"/>
            </w:tcBorders>
            <w:vAlign w:val="center"/>
          </w:tcPr>
          <w:p w14:paraId="4E166CCB">
            <w:pPr>
              <w:keepNext w:val="0"/>
              <w:keepLines w:val="0"/>
              <w:pageBreakBefore w:val="0"/>
              <w:widowControl w:val="0"/>
              <w:tabs>
                <w:tab w:val="left" w:pos="555"/>
              </w:tabs>
              <w:kinsoku/>
              <w:wordWrap/>
              <w:overflowPunct/>
              <w:topLinePunct w:val="0"/>
              <w:autoSpaceDE/>
              <w:autoSpaceDN/>
              <w:bidi w:val="0"/>
              <w:adjustRightInd/>
              <w:snapToGrid/>
              <w:spacing w:line="480" w:lineRule="auto"/>
              <w:jc w:val="center"/>
              <w:textAlignment w:val="baseline"/>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eastAsia="宋体" w:cs="宋体"/>
                <w:b/>
                <w:bCs/>
                <w:color w:val="000000"/>
                <w:sz w:val="36"/>
                <w:szCs w:val="36"/>
              </w:rPr>
              <w:t>工程报价明细表</w:t>
            </w:r>
          </w:p>
        </w:tc>
      </w:tr>
      <w:tr w14:paraId="39BC7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721" w:type="dxa"/>
            <w:tcBorders>
              <w:top w:val="single" w:color="auto" w:sz="4" w:space="0"/>
              <w:bottom w:val="single" w:color="auto" w:sz="4" w:space="0"/>
            </w:tcBorders>
            <w:vAlign w:val="center"/>
          </w:tcPr>
          <w:p w14:paraId="04E9FD84">
            <w:pPr>
              <w:keepNext w:val="0"/>
              <w:keepLines w:val="0"/>
              <w:widowControl/>
              <w:suppressLineNumbers w:val="0"/>
              <w:jc w:val="center"/>
              <w:textAlignment w:val="center"/>
              <w:rPr>
                <w:rFonts w:hint="eastAsia" w:ascii="宋体" w:hAnsi="宋体" w:eastAsia="宋体" w:cs="宋体"/>
                <w:b/>
                <w:bCs/>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序号</w:t>
            </w:r>
          </w:p>
        </w:tc>
        <w:tc>
          <w:tcPr>
            <w:tcW w:w="1545" w:type="dxa"/>
            <w:tcBorders>
              <w:top w:val="single" w:color="auto" w:sz="4" w:space="0"/>
              <w:bottom w:val="single" w:color="auto" w:sz="4" w:space="0"/>
            </w:tcBorders>
            <w:vAlign w:val="center"/>
          </w:tcPr>
          <w:p w14:paraId="2C610CA6">
            <w:pPr>
              <w:keepNext w:val="0"/>
              <w:keepLines w:val="0"/>
              <w:widowControl/>
              <w:suppressLineNumbers w:val="0"/>
              <w:jc w:val="center"/>
              <w:textAlignment w:val="center"/>
              <w:rPr>
                <w:rFonts w:hint="eastAsia" w:ascii="宋体" w:hAnsi="宋体" w:eastAsia="宋体" w:cs="宋体"/>
                <w:b/>
                <w:bCs/>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b/>
                <w:bCs/>
                <w:i w:val="0"/>
                <w:iCs w:val="0"/>
                <w:color w:val="000000"/>
                <w:kern w:val="0"/>
                <w:sz w:val="24"/>
                <w:szCs w:val="24"/>
                <w:u w:val="none"/>
                <w:lang w:val="en-US" w:eastAsia="zh-CN" w:bidi="ar"/>
              </w:rPr>
              <w:t>项目名称</w:t>
            </w:r>
          </w:p>
        </w:tc>
        <w:tc>
          <w:tcPr>
            <w:tcW w:w="5640" w:type="dxa"/>
            <w:tcBorders>
              <w:top w:val="single" w:color="auto" w:sz="4" w:space="0"/>
              <w:bottom w:val="single" w:color="auto" w:sz="4" w:space="0"/>
            </w:tcBorders>
            <w:vAlign w:val="center"/>
          </w:tcPr>
          <w:p w14:paraId="4910B65E">
            <w:pPr>
              <w:keepNext w:val="0"/>
              <w:keepLines w:val="0"/>
              <w:widowControl/>
              <w:suppressLineNumbers w:val="0"/>
              <w:jc w:val="center"/>
              <w:textAlignment w:val="center"/>
              <w:rPr>
                <w:rFonts w:hint="eastAsia" w:ascii="宋体" w:hAnsi="宋体" w:eastAsia="宋体" w:cs="宋体"/>
                <w:b/>
                <w:bCs/>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b/>
                <w:bCs/>
                <w:i w:val="0"/>
                <w:iCs w:val="0"/>
                <w:color w:val="000000"/>
                <w:kern w:val="0"/>
                <w:sz w:val="24"/>
                <w:szCs w:val="24"/>
                <w:u w:val="none"/>
                <w:lang w:val="en-US" w:eastAsia="zh-CN" w:bidi="ar"/>
              </w:rPr>
              <w:t>项目特征描述</w:t>
            </w:r>
          </w:p>
        </w:tc>
        <w:tc>
          <w:tcPr>
            <w:tcW w:w="735" w:type="dxa"/>
            <w:tcBorders>
              <w:top w:val="single" w:color="auto" w:sz="4" w:space="0"/>
              <w:bottom w:val="single" w:color="auto" w:sz="4" w:space="0"/>
            </w:tcBorders>
            <w:vAlign w:val="center"/>
          </w:tcPr>
          <w:p w14:paraId="0FD400D4">
            <w:pPr>
              <w:keepNext w:val="0"/>
              <w:keepLines w:val="0"/>
              <w:widowControl/>
              <w:suppressLineNumbers w:val="0"/>
              <w:jc w:val="center"/>
              <w:textAlignment w:val="center"/>
              <w:rPr>
                <w:rFonts w:hint="eastAsia" w:ascii="宋体" w:hAnsi="宋体" w:eastAsia="宋体" w:cs="宋体"/>
                <w:b/>
                <w:bCs/>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单位</w:t>
            </w:r>
          </w:p>
        </w:tc>
        <w:tc>
          <w:tcPr>
            <w:tcW w:w="1260" w:type="dxa"/>
            <w:tcBorders>
              <w:top w:val="single" w:color="auto" w:sz="4" w:space="0"/>
              <w:bottom w:val="single" w:color="auto" w:sz="4" w:space="0"/>
            </w:tcBorders>
            <w:vAlign w:val="center"/>
          </w:tcPr>
          <w:p w14:paraId="689CFA1B">
            <w:pPr>
              <w:keepNext w:val="0"/>
              <w:keepLines w:val="0"/>
              <w:widowControl/>
              <w:suppressLineNumbers w:val="0"/>
              <w:jc w:val="center"/>
              <w:textAlignment w:val="center"/>
              <w:rPr>
                <w:rFonts w:hint="eastAsia" w:ascii="宋体" w:hAnsi="宋体" w:eastAsia="宋体" w:cs="宋体"/>
                <w:b/>
                <w:bCs/>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b/>
                <w:bCs/>
                <w:i w:val="0"/>
                <w:iCs w:val="0"/>
                <w:color w:val="000000"/>
                <w:kern w:val="0"/>
                <w:sz w:val="24"/>
                <w:szCs w:val="24"/>
                <w:u w:val="none"/>
                <w:lang w:val="en-US" w:eastAsia="zh-CN" w:bidi="ar"/>
              </w:rPr>
              <w:t>计划用量</w:t>
            </w:r>
          </w:p>
        </w:tc>
        <w:tc>
          <w:tcPr>
            <w:tcW w:w="1260" w:type="dxa"/>
            <w:tcBorders>
              <w:top w:val="single" w:color="auto" w:sz="4" w:space="0"/>
              <w:bottom w:val="single" w:color="auto" w:sz="4" w:space="0"/>
            </w:tcBorders>
            <w:vAlign w:val="center"/>
          </w:tcPr>
          <w:p w14:paraId="39C55760">
            <w:pPr>
              <w:keepNext w:val="0"/>
              <w:keepLines w:val="0"/>
              <w:widowControl/>
              <w:suppressLineNumbers w:val="0"/>
              <w:jc w:val="center"/>
              <w:textAlignment w:val="center"/>
              <w:rPr>
                <w:rFonts w:hint="eastAsia" w:ascii="宋体" w:hAnsi="宋体" w:eastAsia="宋体" w:cs="宋体"/>
                <w:b/>
                <w:bCs/>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单价（元）</w:t>
            </w:r>
          </w:p>
        </w:tc>
        <w:tc>
          <w:tcPr>
            <w:tcW w:w="1241" w:type="dxa"/>
            <w:tcBorders>
              <w:top w:val="single" w:color="auto" w:sz="4" w:space="0"/>
              <w:bottom w:val="single" w:color="auto" w:sz="4" w:space="0"/>
            </w:tcBorders>
            <w:vAlign w:val="center"/>
          </w:tcPr>
          <w:p w14:paraId="1451B5CE">
            <w:pPr>
              <w:keepNext w:val="0"/>
              <w:keepLines w:val="0"/>
              <w:widowControl/>
              <w:suppressLineNumbers w:val="0"/>
              <w:jc w:val="center"/>
              <w:textAlignment w:val="center"/>
              <w:rPr>
                <w:rFonts w:hint="eastAsia" w:ascii="宋体" w:hAnsi="宋体" w:eastAsia="宋体" w:cs="宋体"/>
                <w:b/>
                <w:bCs/>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总价（元）</w:t>
            </w:r>
          </w:p>
        </w:tc>
        <w:tc>
          <w:tcPr>
            <w:tcW w:w="1772" w:type="dxa"/>
            <w:tcBorders>
              <w:top w:val="single" w:color="auto" w:sz="4" w:space="0"/>
              <w:bottom w:val="single" w:color="auto" w:sz="4" w:space="0"/>
            </w:tcBorders>
            <w:vAlign w:val="center"/>
          </w:tcPr>
          <w:p w14:paraId="6F2407AD">
            <w:pPr>
              <w:keepNext w:val="0"/>
              <w:keepLines w:val="0"/>
              <w:pageBreakBefore w:val="0"/>
              <w:widowControl w:val="0"/>
              <w:tabs>
                <w:tab w:val="left" w:pos="555"/>
              </w:tabs>
              <w:kinsoku/>
              <w:wordWrap/>
              <w:overflowPunct/>
              <w:topLinePunct w:val="0"/>
              <w:autoSpaceDE/>
              <w:autoSpaceDN/>
              <w:bidi w:val="0"/>
              <w:adjustRightInd/>
              <w:snapToGrid/>
              <w:spacing w:line="480" w:lineRule="auto"/>
              <w:jc w:val="center"/>
              <w:textAlignment w:val="baseline"/>
              <w:rPr>
                <w:rFonts w:hint="eastAsia" w:ascii="宋体" w:hAnsi="宋体" w:eastAsia="宋体" w:cs="宋体"/>
                <w:b/>
                <w:bCs/>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备注</w:t>
            </w:r>
          </w:p>
        </w:tc>
      </w:tr>
      <w:tr w14:paraId="7A708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1" w:hRule="atLeast"/>
        </w:trPr>
        <w:tc>
          <w:tcPr>
            <w:tcW w:w="721" w:type="dxa"/>
            <w:tcBorders>
              <w:top w:val="single" w:color="auto" w:sz="4" w:space="0"/>
              <w:bottom w:val="single" w:color="auto" w:sz="4" w:space="0"/>
            </w:tcBorders>
            <w:vAlign w:val="center"/>
          </w:tcPr>
          <w:p w14:paraId="7F29E6FE">
            <w:pPr>
              <w:keepNext w:val="0"/>
              <w:keepLines w:val="0"/>
              <w:widowControl/>
              <w:suppressLineNumbers w:val="0"/>
              <w:jc w:val="center"/>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1545" w:type="dxa"/>
            <w:tcBorders>
              <w:top w:val="single" w:color="auto" w:sz="4" w:space="0"/>
              <w:bottom w:val="single" w:color="auto" w:sz="4" w:space="0"/>
            </w:tcBorders>
            <w:vAlign w:val="center"/>
          </w:tcPr>
          <w:p w14:paraId="0BE96579">
            <w:pPr>
              <w:keepNext w:val="0"/>
              <w:keepLines w:val="0"/>
              <w:widowControl/>
              <w:suppressLineNumbers w:val="0"/>
              <w:jc w:val="center"/>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i w:val="0"/>
                <w:iCs w:val="0"/>
                <w:color w:val="000000"/>
                <w:kern w:val="0"/>
                <w:sz w:val="24"/>
                <w:szCs w:val="24"/>
                <w:u w:val="none"/>
                <w:lang w:val="en-US" w:eastAsia="zh-CN" w:bidi="ar"/>
              </w:rPr>
              <w:t>粘层</w:t>
            </w:r>
          </w:p>
        </w:tc>
        <w:tc>
          <w:tcPr>
            <w:tcW w:w="5640" w:type="dxa"/>
            <w:tcBorders>
              <w:top w:val="single" w:color="auto" w:sz="4" w:space="0"/>
              <w:bottom w:val="single" w:color="auto" w:sz="4" w:space="0"/>
            </w:tcBorders>
            <w:vAlign w:val="center"/>
          </w:tcPr>
          <w:p w14:paraId="50A3319F">
            <w:pPr>
              <w:keepNext w:val="0"/>
              <w:keepLines w:val="0"/>
              <w:widowControl/>
              <w:numPr>
                <w:ilvl w:val="0"/>
                <w:numId w:val="0"/>
              </w:numPr>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cstheme="minorEastAsia"/>
                <w:i w:val="0"/>
                <w:iCs w:val="0"/>
                <w:color w:val="000000"/>
                <w:kern w:val="0"/>
                <w:sz w:val="24"/>
                <w:szCs w:val="24"/>
                <w:u w:val="none"/>
                <w:lang w:val="en-US" w:eastAsia="zh-CN" w:bidi="ar"/>
              </w:rPr>
              <w:t>1、</w:t>
            </w:r>
            <w:r>
              <w:rPr>
                <w:rFonts w:hint="eastAsia" w:asciiTheme="minorEastAsia" w:hAnsiTheme="minorEastAsia" w:eastAsiaTheme="minorEastAsia" w:cstheme="minorEastAsia"/>
                <w:i w:val="0"/>
                <w:iCs w:val="0"/>
                <w:color w:val="000000"/>
                <w:kern w:val="0"/>
                <w:sz w:val="24"/>
                <w:szCs w:val="24"/>
                <w:u w:val="none"/>
                <w:lang w:val="en-US" w:eastAsia="zh-CN" w:bidi="ar"/>
              </w:rPr>
              <w:t>材料品种：阳离子改性乳化沥青粘层PCR；</w:t>
            </w:r>
          </w:p>
          <w:p w14:paraId="58979B11">
            <w:pPr>
              <w:keepNext w:val="0"/>
              <w:keepLines w:val="0"/>
              <w:widowControl/>
              <w:numPr>
                <w:ilvl w:val="0"/>
                <w:numId w:val="0"/>
              </w:numPr>
              <w:suppressLineNumbers w:val="0"/>
              <w:ind w:left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cstheme="minorEastAsia"/>
                <w:i w:val="0"/>
                <w:iCs w:val="0"/>
                <w:color w:val="000000"/>
                <w:kern w:val="0"/>
                <w:sz w:val="24"/>
                <w:szCs w:val="24"/>
                <w:u w:val="none"/>
                <w:lang w:val="en-US" w:eastAsia="zh-CN" w:bidi="ar"/>
              </w:rPr>
              <w:t>2、</w:t>
            </w:r>
            <w:r>
              <w:rPr>
                <w:rFonts w:hint="eastAsia" w:asciiTheme="minorEastAsia" w:hAnsiTheme="minorEastAsia" w:eastAsiaTheme="minorEastAsia" w:cstheme="minorEastAsia"/>
                <w:i w:val="0"/>
                <w:iCs w:val="0"/>
                <w:color w:val="000000"/>
                <w:kern w:val="0"/>
                <w:sz w:val="24"/>
                <w:szCs w:val="24"/>
                <w:u w:val="none"/>
                <w:lang w:val="en-US" w:eastAsia="zh-CN" w:bidi="ar"/>
              </w:rPr>
              <w:t>喷油量：0.3-0.6L/㎡。</w:t>
            </w:r>
          </w:p>
          <w:p w14:paraId="2BB702CF">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i w:val="0"/>
                <w:iCs w:val="0"/>
                <w:color w:val="000000"/>
                <w:kern w:val="0"/>
                <w:sz w:val="24"/>
                <w:szCs w:val="24"/>
                <w:u w:val="none"/>
                <w:lang w:val="en-US" w:eastAsia="zh-CN" w:bidi="ar"/>
              </w:rPr>
              <w:t>3、其他：未尽事宜详见设计图纸</w:t>
            </w:r>
          </w:p>
        </w:tc>
        <w:tc>
          <w:tcPr>
            <w:tcW w:w="735" w:type="dxa"/>
            <w:tcBorders>
              <w:top w:val="single" w:color="auto" w:sz="4" w:space="0"/>
              <w:bottom w:val="single" w:color="auto" w:sz="4" w:space="0"/>
            </w:tcBorders>
            <w:vAlign w:val="center"/>
          </w:tcPr>
          <w:p w14:paraId="64DFCA74">
            <w:pPr>
              <w:keepNext w:val="0"/>
              <w:keepLines w:val="0"/>
              <w:widowControl/>
              <w:suppressLineNumbers w:val="0"/>
              <w:jc w:val="center"/>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i w:val="0"/>
                <w:iCs w:val="0"/>
                <w:color w:val="000000"/>
                <w:kern w:val="0"/>
                <w:sz w:val="24"/>
                <w:szCs w:val="24"/>
                <w:u w:val="none"/>
                <w:lang w:val="en-US" w:eastAsia="zh-CN" w:bidi="ar"/>
              </w:rPr>
              <w:t>㎡</w:t>
            </w:r>
          </w:p>
        </w:tc>
        <w:tc>
          <w:tcPr>
            <w:tcW w:w="1260" w:type="dxa"/>
            <w:tcBorders>
              <w:top w:val="single" w:color="auto" w:sz="4" w:space="0"/>
              <w:bottom w:val="single" w:color="auto" w:sz="4" w:space="0"/>
            </w:tcBorders>
            <w:vAlign w:val="center"/>
          </w:tcPr>
          <w:p w14:paraId="6B42E1C9">
            <w:pPr>
              <w:keepNext w:val="0"/>
              <w:keepLines w:val="0"/>
              <w:widowControl/>
              <w:suppressLineNumbers w:val="0"/>
              <w:jc w:val="center"/>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i w:val="0"/>
                <w:iCs w:val="0"/>
                <w:color w:val="000000"/>
                <w:kern w:val="0"/>
                <w:sz w:val="24"/>
                <w:szCs w:val="24"/>
                <w:u w:val="none"/>
                <w:lang w:val="en-US" w:eastAsia="zh-CN" w:bidi="ar"/>
              </w:rPr>
              <w:t>8600</w:t>
            </w:r>
          </w:p>
        </w:tc>
        <w:tc>
          <w:tcPr>
            <w:tcW w:w="1260" w:type="dxa"/>
            <w:tcBorders>
              <w:top w:val="single" w:color="auto" w:sz="4" w:space="0"/>
              <w:bottom w:val="single" w:color="auto" w:sz="4" w:space="0"/>
            </w:tcBorders>
            <w:vAlign w:val="center"/>
          </w:tcPr>
          <w:p w14:paraId="1F5DD43D">
            <w:pPr>
              <w:jc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p>
        </w:tc>
        <w:tc>
          <w:tcPr>
            <w:tcW w:w="1241" w:type="dxa"/>
            <w:tcBorders>
              <w:top w:val="single" w:color="auto" w:sz="4" w:space="0"/>
              <w:bottom w:val="single" w:color="auto" w:sz="4" w:space="0"/>
            </w:tcBorders>
            <w:vAlign w:val="center"/>
          </w:tcPr>
          <w:p w14:paraId="790A4392">
            <w:pPr>
              <w:jc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p>
        </w:tc>
        <w:tc>
          <w:tcPr>
            <w:tcW w:w="1772" w:type="dxa"/>
            <w:vMerge w:val="restart"/>
            <w:tcBorders>
              <w:top w:val="single" w:color="auto" w:sz="4" w:space="0"/>
            </w:tcBorders>
          </w:tcPr>
          <w:p w14:paraId="24BF8101">
            <w:pPr>
              <w:keepNext w:val="0"/>
              <w:keepLines w:val="0"/>
              <w:pageBreakBefore w:val="0"/>
              <w:widowControl w:val="0"/>
              <w:tabs>
                <w:tab w:val="left" w:pos="555"/>
              </w:tabs>
              <w:kinsoku/>
              <w:wordWrap/>
              <w:overflowPunct/>
              <w:topLinePunct w:val="0"/>
              <w:autoSpaceDE/>
              <w:autoSpaceDN/>
              <w:bidi w:val="0"/>
              <w:adjustRightInd/>
              <w:snapToGrid/>
              <w:spacing w:line="480" w:lineRule="auto"/>
              <w:textAlignment w:val="baseline"/>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p>
        </w:tc>
      </w:tr>
      <w:tr w14:paraId="683F7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7" w:hRule="atLeast"/>
        </w:trPr>
        <w:tc>
          <w:tcPr>
            <w:tcW w:w="721" w:type="dxa"/>
            <w:tcBorders>
              <w:top w:val="single" w:color="auto" w:sz="4" w:space="0"/>
              <w:bottom w:val="single" w:color="auto" w:sz="4" w:space="0"/>
            </w:tcBorders>
            <w:vAlign w:val="center"/>
          </w:tcPr>
          <w:p w14:paraId="1D2AA372">
            <w:pPr>
              <w:keepNext w:val="0"/>
              <w:keepLines w:val="0"/>
              <w:widowControl/>
              <w:suppressLineNumbers w:val="0"/>
              <w:jc w:val="center"/>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i w:val="0"/>
                <w:iCs w:val="0"/>
                <w:color w:val="000000"/>
                <w:kern w:val="0"/>
                <w:sz w:val="24"/>
                <w:szCs w:val="24"/>
                <w:u w:val="none"/>
                <w:lang w:val="en-US" w:eastAsia="zh-CN" w:bidi="ar"/>
              </w:rPr>
              <w:t>2</w:t>
            </w:r>
          </w:p>
        </w:tc>
        <w:tc>
          <w:tcPr>
            <w:tcW w:w="1545" w:type="dxa"/>
            <w:tcBorders>
              <w:top w:val="single" w:color="auto" w:sz="4" w:space="0"/>
              <w:bottom w:val="single" w:color="auto" w:sz="4" w:space="0"/>
            </w:tcBorders>
            <w:vAlign w:val="center"/>
          </w:tcPr>
          <w:p w14:paraId="53EBE1C2">
            <w:pPr>
              <w:keepNext w:val="0"/>
              <w:keepLines w:val="0"/>
              <w:widowControl/>
              <w:suppressLineNumbers w:val="0"/>
              <w:jc w:val="center"/>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i w:val="0"/>
                <w:iCs w:val="0"/>
                <w:color w:val="000000"/>
                <w:kern w:val="0"/>
                <w:sz w:val="24"/>
                <w:szCs w:val="24"/>
                <w:u w:val="none"/>
                <w:lang w:val="en-US" w:eastAsia="zh-CN" w:bidi="ar"/>
              </w:rPr>
              <w:t>沥青混凝土</w:t>
            </w:r>
          </w:p>
        </w:tc>
        <w:tc>
          <w:tcPr>
            <w:tcW w:w="5640" w:type="dxa"/>
            <w:tcBorders>
              <w:top w:val="single" w:color="auto" w:sz="4" w:space="0"/>
              <w:bottom w:val="single" w:color="auto" w:sz="4" w:space="0"/>
            </w:tcBorders>
            <w:vAlign w:val="center"/>
          </w:tcPr>
          <w:p w14:paraId="2F9F088A">
            <w:pPr>
              <w:keepNext w:val="0"/>
              <w:keepLines w:val="0"/>
              <w:widowControl/>
              <w:numPr>
                <w:ilvl w:val="0"/>
                <w:numId w:val="5"/>
              </w:numPr>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沥青含量：4.0-6.0%；</w:t>
            </w:r>
          </w:p>
          <w:p w14:paraId="781DD214">
            <w:pPr>
              <w:keepNext w:val="0"/>
              <w:keepLines w:val="0"/>
              <w:widowControl/>
              <w:numPr>
                <w:ilvl w:val="0"/>
                <w:numId w:val="0"/>
              </w:numPr>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cstheme="minorEastAsia"/>
                <w:i w:val="0"/>
                <w:iCs w:val="0"/>
                <w:color w:val="000000"/>
                <w:kern w:val="0"/>
                <w:sz w:val="24"/>
                <w:szCs w:val="24"/>
                <w:u w:val="none"/>
                <w:lang w:val="en-US" w:eastAsia="zh-CN" w:bidi="ar"/>
              </w:rPr>
              <w:t>2、</w:t>
            </w:r>
            <w:r>
              <w:rPr>
                <w:rFonts w:hint="eastAsia" w:asciiTheme="minorEastAsia" w:hAnsiTheme="minorEastAsia" w:eastAsiaTheme="minorEastAsia" w:cstheme="minorEastAsia"/>
                <w:i w:val="0"/>
                <w:iCs w:val="0"/>
                <w:color w:val="000000"/>
                <w:kern w:val="0"/>
                <w:sz w:val="24"/>
                <w:szCs w:val="24"/>
                <w:u w:val="none"/>
                <w:lang w:val="en-US" w:eastAsia="zh-CN" w:bidi="ar"/>
              </w:rPr>
              <w:t>沥青混凝土种类：中粒式SBS改性沥青（AC-16C）；</w:t>
            </w:r>
            <w:r>
              <w:rPr>
                <w:rFonts w:hint="eastAsia" w:asciiTheme="minorEastAsia" w:hAnsiTheme="minorEastAsia" w:cstheme="minorEastAsia"/>
                <w:i w:val="0"/>
                <w:iCs w:val="0"/>
                <w:color w:val="000000"/>
                <w:kern w:val="0"/>
                <w:sz w:val="24"/>
                <w:szCs w:val="24"/>
                <w:u w:val="none"/>
                <w:lang w:val="en-US" w:eastAsia="zh-CN" w:bidi="ar"/>
              </w:rPr>
              <w:t>3、</w:t>
            </w:r>
            <w:r>
              <w:rPr>
                <w:rFonts w:hint="eastAsia" w:asciiTheme="minorEastAsia" w:hAnsiTheme="minorEastAsia" w:eastAsiaTheme="minorEastAsia" w:cstheme="minorEastAsia"/>
                <w:i w:val="0"/>
                <w:iCs w:val="0"/>
                <w:color w:val="000000"/>
                <w:kern w:val="0"/>
                <w:sz w:val="24"/>
                <w:szCs w:val="24"/>
                <w:u w:val="none"/>
                <w:lang w:val="en-US" w:eastAsia="zh-CN" w:bidi="ar"/>
              </w:rPr>
              <w:t>石料粒径：最大粒径19mm；</w:t>
            </w:r>
          </w:p>
          <w:p w14:paraId="6734F767">
            <w:pPr>
              <w:keepNext w:val="0"/>
              <w:keepLines w:val="0"/>
              <w:widowControl/>
              <w:numPr>
                <w:ilvl w:val="0"/>
                <w:numId w:val="0"/>
              </w:numPr>
              <w:suppressLineNumbers w:val="0"/>
              <w:ind w:left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cstheme="minorEastAsia"/>
                <w:i w:val="0"/>
                <w:iCs w:val="0"/>
                <w:color w:val="000000"/>
                <w:kern w:val="0"/>
                <w:sz w:val="24"/>
                <w:szCs w:val="24"/>
                <w:u w:val="none"/>
                <w:lang w:val="en-US" w:eastAsia="zh-CN" w:bidi="ar"/>
              </w:rPr>
              <w:t>4、</w:t>
            </w:r>
            <w:r>
              <w:rPr>
                <w:rFonts w:hint="eastAsia" w:asciiTheme="minorEastAsia" w:hAnsiTheme="minorEastAsia" w:eastAsiaTheme="minorEastAsia" w:cstheme="minorEastAsia"/>
                <w:i w:val="0"/>
                <w:iCs w:val="0"/>
                <w:color w:val="000000"/>
                <w:kern w:val="0"/>
                <w:sz w:val="24"/>
                <w:szCs w:val="24"/>
                <w:u w:val="none"/>
                <w:lang w:val="en-US" w:eastAsia="zh-CN" w:bidi="ar"/>
              </w:rPr>
              <w:t>厚度：50mm；</w:t>
            </w:r>
          </w:p>
          <w:p w14:paraId="16608C41">
            <w:pPr>
              <w:keepNext w:val="0"/>
              <w:keepLines w:val="0"/>
              <w:widowControl/>
              <w:numPr>
                <w:ilvl w:val="0"/>
                <w:numId w:val="0"/>
              </w:numPr>
              <w:suppressLineNumbers w:val="0"/>
              <w:ind w:left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cstheme="minorEastAsia"/>
                <w:i w:val="0"/>
                <w:iCs w:val="0"/>
                <w:color w:val="000000"/>
                <w:kern w:val="0"/>
                <w:sz w:val="24"/>
                <w:szCs w:val="24"/>
                <w:u w:val="none"/>
                <w:lang w:val="en-US" w:eastAsia="zh-CN" w:bidi="ar"/>
              </w:rPr>
              <w:t>5、</w:t>
            </w:r>
            <w:r>
              <w:rPr>
                <w:rFonts w:hint="eastAsia" w:asciiTheme="minorEastAsia" w:hAnsiTheme="minorEastAsia" w:eastAsiaTheme="minorEastAsia" w:cstheme="minorEastAsia"/>
                <w:i w:val="0"/>
                <w:iCs w:val="0"/>
                <w:color w:val="000000"/>
                <w:kern w:val="0"/>
                <w:sz w:val="24"/>
                <w:szCs w:val="24"/>
                <w:u w:val="none"/>
                <w:lang w:val="en-US" w:eastAsia="zh-CN" w:bidi="ar"/>
              </w:rPr>
              <w:t>部位：慢行道下面层；</w:t>
            </w:r>
          </w:p>
          <w:p w14:paraId="52E4C5EF">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cstheme="minorEastAsia"/>
                <w:i w:val="0"/>
                <w:iCs w:val="0"/>
                <w:color w:val="000000"/>
                <w:kern w:val="0"/>
                <w:sz w:val="24"/>
                <w:szCs w:val="24"/>
                <w:u w:val="none"/>
                <w:lang w:val="en-US" w:eastAsia="zh-CN" w:bidi="ar"/>
              </w:rPr>
              <w:t>6、</w:t>
            </w:r>
            <w:r>
              <w:rPr>
                <w:rFonts w:hint="eastAsia" w:asciiTheme="minorEastAsia" w:hAnsiTheme="minorEastAsia" w:eastAsiaTheme="minorEastAsia" w:cstheme="minorEastAsia"/>
                <w:i w:val="0"/>
                <w:iCs w:val="0"/>
                <w:color w:val="000000"/>
                <w:kern w:val="0"/>
                <w:sz w:val="24"/>
                <w:szCs w:val="24"/>
                <w:u w:val="none"/>
                <w:lang w:val="en-US" w:eastAsia="zh-CN" w:bidi="ar"/>
              </w:rPr>
              <w:t>其他：未尽事宜详见设计图纸</w:t>
            </w:r>
          </w:p>
        </w:tc>
        <w:tc>
          <w:tcPr>
            <w:tcW w:w="735" w:type="dxa"/>
            <w:tcBorders>
              <w:top w:val="single" w:color="auto" w:sz="4" w:space="0"/>
              <w:bottom w:val="single" w:color="auto" w:sz="4" w:space="0"/>
            </w:tcBorders>
            <w:vAlign w:val="center"/>
          </w:tcPr>
          <w:p w14:paraId="05CAE9D4">
            <w:pPr>
              <w:keepNext w:val="0"/>
              <w:keepLines w:val="0"/>
              <w:widowControl/>
              <w:suppressLineNumbers w:val="0"/>
              <w:jc w:val="center"/>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i w:val="0"/>
                <w:iCs w:val="0"/>
                <w:color w:val="000000"/>
                <w:kern w:val="0"/>
                <w:sz w:val="24"/>
                <w:szCs w:val="24"/>
                <w:u w:val="none"/>
                <w:lang w:val="en-US" w:eastAsia="zh-CN" w:bidi="ar"/>
              </w:rPr>
              <w:t>㎡</w:t>
            </w:r>
          </w:p>
        </w:tc>
        <w:tc>
          <w:tcPr>
            <w:tcW w:w="1260" w:type="dxa"/>
            <w:tcBorders>
              <w:top w:val="single" w:color="auto" w:sz="4" w:space="0"/>
              <w:bottom w:val="single" w:color="auto" w:sz="4" w:space="0"/>
            </w:tcBorders>
            <w:vAlign w:val="center"/>
          </w:tcPr>
          <w:p w14:paraId="16E4EC9E">
            <w:pPr>
              <w:keepNext w:val="0"/>
              <w:keepLines w:val="0"/>
              <w:widowControl/>
              <w:suppressLineNumbers w:val="0"/>
              <w:jc w:val="center"/>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i w:val="0"/>
                <w:iCs w:val="0"/>
                <w:color w:val="000000"/>
                <w:kern w:val="0"/>
                <w:sz w:val="24"/>
                <w:szCs w:val="24"/>
                <w:u w:val="none"/>
                <w:lang w:val="en-US" w:eastAsia="zh-CN" w:bidi="ar"/>
              </w:rPr>
              <w:t>4300</w:t>
            </w:r>
          </w:p>
        </w:tc>
        <w:tc>
          <w:tcPr>
            <w:tcW w:w="1260" w:type="dxa"/>
            <w:tcBorders>
              <w:top w:val="single" w:color="auto" w:sz="4" w:space="0"/>
              <w:bottom w:val="single" w:color="auto" w:sz="4" w:space="0"/>
            </w:tcBorders>
            <w:vAlign w:val="center"/>
          </w:tcPr>
          <w:p w14:paraId="2BD9397E">
            <w:pPr>
              <w:jc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p>
        </w:tc>
        <w:tc>
          <w:tcPr>
            <w:tcW w:w="1241" w:type="dxa"/>
            <w:tcBorders>
              <w:top w:val="single" w:color="auto" w:sz="4" w:space="0"/>
              <w:bottom w:val="single" w:color="auto" w:sz="4" w:space="0"/>
            </w:tcBorders>
            <w:vAlign w:val="center"/>
          </w:tcPr>
          <w:p w14:paraId="171A79F4">
            <w:pPr>
              <w:jc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p>
        </w:tc>
        <w:tc>
          <w:tcPr>
            <w:tcW w:w="1772" w:type="dxa"/>
            <w:vMerge w:val="continue"/>
          </w:tcPr>
          <w:p w14:paraId="677D3859">
            <w:pPr>
              <w:keepNext w:val="0"/>
              <w:keepLines w:val="0"/>
              <w:pageBreakBefore w:val="0"/>
              <w:widowControl w:val="0"/>
              <w:tabs>
                <w:tab w:val="left" w:pos="555"/>
              </w:tabs>
              <w:kinsoku/>
              <w:wordWrap/>
              <w:overflowPunct/>
              <w:topLinePunct w:val="0"/>
              <w:autoSpaceDE/>
              <w:autoSpaceDN/>
              <w:bidi w:val="0"/>
              <w:adjustRightInd/>
              <w:snapToGrid/>
              <w:spacing w:line="480" w:lineRule="auto"/>
              <w:textAlignment w:val="baseline"/>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p>
        </w:tc>
      </w:tr>
      <w:tr w14:paraId="12E09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9" w:hRule="atLeast"/>
        </w:trPr>
        <w:tc>
          <w:tcPr>
            <w:tcW w:w="721" w:type="dxa"/>
            <w:tcBorders>
              <w:top w:val="single" w:color="auto" w:sz="4" w:space="0"/>
              <w:bottom w:val="single" w:color="auto" w:sz="4" w:space="0"/>
            </w:tcBorders>
            <w:vAlign w:val="center"/>
          </w:tcPr>
          <w:p w14:paraId="10791608">
            <w:pPr>
              <w:keepNext w:val="0"/>
              <w:keepLines w:val="0"/>
              <w:widowControl/>
              <w:suppressLineNumbers w:val="0"/>
              <w:jc w:val="center"/>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i w:val="0"/>
                <w:iCs w:val="0"/>
                <w:color w:val="000000"/>
                <w:kern w:val="0"/>
                <w:sz w:val="24"/>
                <w:szCs w:val="24"/>
                <w:u w:val="none"/>
                <w:lang w:val="en-US" w:eastAsia="zh-CN" w:bidi="ar"/>
              </w:rPr>
              <w:t>3</w:t>
            </w:r>
          </w:p>
        </w:tc>
        <w:tc>
          <w:tcPr>
            <w:tcW w:w="1545" w:type="dxa"/>
            <w:tcBorders>
              <w:top w:val="single" w:color="auto" w:sz="4" w:space="0"/>
              <w:bottom w:val="single" w:color="auto" w:sz="4" w:space="0"/>
            </w:tcBorders>
            <w:vAlign w:val="center"/>
          </w:tcPr>
          <w:p w14:paraId="12D6984D">
            <w:pPr>
              <w:keepNext w:val="0"/>
              <w:keepLines w:val="0"/>
              <w:widowControl/>
              <w:suppressLineNumbers w:val="0"/>
              <w:jc w:val="center"/>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i w:val="0"/>
                <w:iCs w:val="0"/>
                <w:color w:val="000000"/>
                <w:kern w:val="0"/>
                <w:sz w:val="24"/>
                <w:szCs w:val="24"/>
                <w:u w:val="none"/>
                <w:lang w:val="en-US" w:eastAsia="zh-CN" w:bidi="ar"/>
              </w:rPr>
              <w:t>沥青混凝土</w:t>
            </w:r>
          </w:p>
        </w:tc>
        <w:tc>
          <w:tcPr>
            <w:tcW w:w="5640" w:type="dxa"/>
            <w:tcBorders>
              <w:top w:val="single" w:color="auto" w:sz="4" w:space="0"/>
              <w:bottom w:val="single" w:color="auto" w:sz="4" w:space="0"/>
            </w:tcBorders>
            <w:vAlign w:val="center"/>
          </w:tcPr>
          <w:p w14:paraId="00EF2ECE">
            <w:pPr>
              <w:keepNext w:val="0"/>
              <w:keepLines w:val="0"/>
              <w:widowControl/>
              <w:numPr>
                <w:ilvl w:val="0"/>
                <w:numId w:val="6"/>
              </w:numPr>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沥青含量：4.0-6.0%；</w:t>
            </w:r>
          </w:p>
          <w:p w14:paraId="643AC167">
            <w:pPr>
              <w:keepNext w:val="0"/>
              <w:keepLines w:val="0"/>
              <w:widowControl/>
              <w:numPr>
                <w:ilvl w:val="0"/>
                <w:numId w:val="0"/>
              </w:numPr>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cstheme="minorEastAsia"/>
                <w:i w:val="0"/>
                <w:iCs w:val="0"/>
                <w:color w:val="000000"/>
                <w:kern w:val="0"/>
                <w:sz w:val="24"/>
                <w:szCs w:val="24"/>
                <w:u w:val="none"/>
                <w:lang w:val="en-US" w:eastAsia="zh-CN" w:bidi="ar"/>
              </w:rPr>
              <w:t>2、</w:t>
            </w:r>
            <w:r>
              <w:rPr>
                <w:rFonts w:hint="eastAsia" w:asciiTheme="minorEastAsia" w:hAnsiTheme="minorEastAsia" w:eastAsiaTheme="minorEastAsia" w:cstheme="minorEastAsia"/>
                <w:i w:val="0"/>
                <w:iCs w:val="0"/>
                <w:color w:val="000000"/>
                <w:kern w:val="0"/>
                <w:sz w:val="24"/>
                <w:szCs w:val="24"/>
                <w:u w:val="none"/>
                <w:lang w:val="en-US" w:eastAsia="zh-CN" w:bidi="ar"/>
              </w:rPr>
              <w:t>沥青混凝土种类：细粒式SBS改性沥青（AC-13C）；</w:t>
            </w:r>
          </w:p>
          <w:p w14:paraId="792E4AA9">
            <w:pPr>
              <w:keepNext w:val="0"/>
              <w:keepLines w:val="0"/>
              <w:widowControl/>
              <w:numPr>
                <w:ilvl w:val="0"/>
                <w:numId w:val="0"/>
              </w:numPr>
              <w:suppressLineNumbers w:val="0"/>
              <w:ind w:left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cstheme="minorEastAsia"/>
                <w:i w:val="0"/>
                <w:iCs w:val="0"/>
                <w:color w:val="000000"/>
                <w:kern w:val="0"/>
                <w:sz w:val="24"/>
                <w:szCs w:val="24"/>
                <w:u w:val="none"/>
                <w:lang w:val="en-US" w:eastAsia="zh-CN" w:bidi="ar"/>
              </w:rPr>
              <w:t>3、</w:t>
            </w:r>
            <w:r>
              <w:rPr>
                <w:rFonts w:hint="eastAsia" w:asciiTheme="minorEastAsia" w:hAnsiTheme="minorEastAsia" w:eastAsiaTheme="minorEastAsia" w:cstheme="minorEastAsia"/>
                <w:i w:val="0"/>
                <w:iCs w:val="0"/>
                <w:color w:val="000000"/>
                <w:kern w:val="0"/>
                <w:sz w:val="24"/>
                <w:szCs w:val="24"/>
                <w:u w:val="none"/>
                <w:lang w:val="en-US" w:eastAsia="zh-CN" w:bidi="ar"/>
              </w:rPr>
              <w:t>石料粒径：最大粒径16mm；</w:t>
            </w:r>
          </w:p>
          <w:p w14:paraId="26C12E35">
            <w:pPr>
              <w:keepNext w:val="0"/>
              <w:keepLines w:val="0"/>
              <w:widowControl/>
              <w:numPr>
                <w:ilvl w:val="0"/>
                <w:numId w:val="0"/>
              </w:numPr>
              <w:suppressLineNumbers w:val="0"/>
              <w:ind w:left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cstheme="minorEastAsia"/>
                <w:i w:val="0"/>
                <w:iCs w:val="0"/>
                <w:color w:val="000000"/>
                <w:kern w:val="0"/>
                <w:sz w:val="24"/>
                <w:szCs w:val="24"/>
                <w:u w:val="none"/>
                <w:lang w:val="en-US" w:eastAsia="zh-CN" w:bidi="ar"/>
              </w:rPr>
              <w:t>4、</w:t>
            </w:r>
            <w:r>
              <w:rPr>
                <w:rFonts w:hint="eastAsia" w:asciiTheme="minorEastAsia" w:hAnsiTheme="minorEastAsia" w:eastAsiaTheme="minorEastAsia" w:cstheme="minorEastAsia"/>
                <w:i w:val="0"/>
                <w:iCs w:val="0"/>
                <w:color w:val="000000"/>
                <w:kern w:val="0"/>
                <w:sz w:val="24"/>
                <w:szCs w:val="24"/>
                <w:u w:val="none"/>
                <w:lang w:val="en-US" w:eastAsia="zh-CN" w:bidi="ar"/>
              </w:rPr>
              <w:t>厚度：30mm；</w:t>
            </w:r>
          </w:p>
          <w:p w14:paraId="528C1B49">
            <w:pPr>
              <w:keepNext w:val="0"/>
              <w:keepLines w:val="0"/>
              <w:widowControl/>
              <w:numPr>
                <w:ilvl w:val="0"/>
                <w:numId w:val="0"/>
              </w:numPr>
              <w:suppressLineNumbers w:val="0"/>
              <w:ind w:leftChars="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cstheme="minorEastAsia"/>
                <w:i w:val="0"/>
                <w:iCs w:val="0"/>
                <w:color w:val="000000"/>
                <w:kern w:val="0"/>
                <w:sz w:val="24"/>
                <w:szCs w:val="24"/>
                <w:u w:val="none"/>
                <w:lang w:val="en-US" w:eastAsia="zh-CN" w:bidi="ar"/>
              </w:rPr>
              <w:t>5、</w:t>
            </w:r>
            <w:r>
              <w:rPr>
                <w:rFonts w:hint="eastAsia" w:asciiTheme="minorEastAsia" w:hAnsiTheme="minorEastAsia" w:eastAsiaTheme="minorEastAsia" w:cstheme="minorEastAsia"/>
                <w:i w:val="0"/>
                <w:iCs w:val="0"/>
                <w:color w:val="000000"/>
                <w:kern w:val="0"/>
                <w:sz w:val="24"/>
                <w:szCs w:val="24"/>
                <w:u w:val="none"/>
                <w:lang w:val="en-US" w:eastAsia="zh-CN" w:bidi="ar"/>
              </w:rPr>
              <w:t>部位：慢行道上面层；</w:t>
            </w:r>
          </w:p>
          <w:p w14:paraId="7D546D17">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i w:val="0"/>
                <w:iCs w:val="0"/>
                <w:color w:val="000000"/>
                <w:kern w:val="0"/>
                <w:sz w:val="24"/>
                <w:szCs w:val="24"/>
                <w:u w:val="none"/>
                <w:lang w:val="en-US" w:eastAsia="zh-CN" w:bidi="ar"/>
              </w:rPr>
              <w:t>6、其他：未尽事宜详见设计图纸</w:t>
            </w:r>
          </w:p>
        </w:tc>
        <w:tc>
          <w:tcPr>
            <w:tcW w:w="735" w:type="dxa"/>
            <w:tcBorders>
              <w:top w:val="single" w:color="auto" w:sz="4" w:space="0"/>
              <w:bottom w:val="single" w:color="auto" w:sz="4" w:space="0"/>
            </w:tcBorders>
            <w:vAlign w:val="center"/>
          </w:tcPr>
          <w:p w14:paraId="4BB0199F">
            <w:pPr>
              <w:keepNext w:val="0"/>
              <w:keepLines w:val="0"/>
              <w:widowControl/>
              <w:suppressLineNumbers w:val="0"/>
              <w:jc w:val="center"/>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i w:val="0"/>
                <w:iCs w:val="0"/>
                <w:color w:val="000000"/>
                <w:kern w:val="0"/>
                <w:sz w:val="24"/>
                <w:szCs w:val="24"/>
                <w:u w:val="none"/>
                <w:lang w:val="en-US" w:eastAsia="zh-CN" w:bidi="ar"/>
              </w:rPr>
              <w:t>㎡</w:t>
            </w:r>
          </w:p>
        </w:tc>
        <w:tc>
          <w:tcPr>
            <w:tcW w:w="1260" w:type="dxa"/>
            <w:tcBorders>
              <w:top w:val="single" w:color="auto" w:sz="4" w:space="0"/>
              <w:bottom w:val="single" w:color="auto" w:sz="4" w:space="0"/>
            </w:tcBorders>
            <w:vAlign w:val="center"/>
          </w:tcPr>
          <w:p w14:paraId="6F32CB47">
            <w:pPr>
              <w:keepNext w:val="0"/>
              <w:keepLines w:val="0"/>
              <w:widowControl/>
              <w:suppressLineNumbers w:val="0"/>
              <w:jc w:val="center"/>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i w:val="0"/>
                <w:iCs w:val="0"/>
                <w:color w:val="000000"/>
                <w:kern w:val="0"/>
                <w:sz w:val="24"/>
                <w:szCs w:val="24"/>
                <w:u w:val="none"/>
                <w:lang w:val="en-US" w:eastAsia="zh-CN" w:bidi="ar"/>
              </w:rPr>
              <w:t>4300</w:t>
            </w:r>
          </w:p>
        </w:tc>
        <w:tc>
          <w:tcPr>
            <w:tcW w:w="1260" w:type="dxa"/>
            <w:tcBorders>
              <w:top w:val="single" w:color="auto" w:sz="4" w:space="0"/>
              <w:bottom w:val="single" w:color="auto" w:sz="4" w:space="0"/>
            </w:tcBorders>
            <w:vAlign w:val="center"/>
          </w:tcPr>
          <w:p w14:paraId="3FCA0437">
            <w:pPr>
              <w:jc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p>
        </w:tc>
        <w:tc>
          <w:tcPr>
            <w:tcW w:w="1241" w:type="dxa"/>
            <w:tcBorders>
              <w:top w:val="single" w:color="auto" w:sz="4" w:space="0"/>
              <w:bottom w:val="single" w:color="auto" w:sz="4" w:space="0"/>
            </w:tcBorders>
            <w:vAlign w:val="center"/>
          </w:tcPr>
          <w:p w14:paraId="7044D828">
            <w:pPr>
              <w:jc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p>
        </w:tc>
        <w:tc>
          <w:tcPr>
            <w:tcW w:w="1772" w:type="dxa"/>
            <w:vMerge w:val="continue"/>
          </w:tcPr>
          <w:p w14:paraId="7372C699">
            <w:pPr>
              <w:keepNext w:val="0"/>
              <w:keepLines w:val="0"/>
              <w:pageBreakBefore w:val="0"/>
              <w:widowControl w:val="0"/>
              <w:tabs>
                <w:tab w:val="left" w:pos="555"/>
              </w:tabs>
              <w:kinsoku/>
              <w:wordWrap/>
              <w:overflowPunct/>
              <w:topLinePunct w:val="0"/>
              <w:autoSpaceDE/>
              <w:autoSpaceDN/>
              <w:bidi w:val="0"/>
              <w:adjustRightInd/>
              <w:snapToGrid/>
              <w:spacing w:line="480" w:lineRule="auto"/>
              <w:textAlignment w:val="baseline"/>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p>
        </w:tc>
      </w:tr>
      <w:tr w14:paraId="42D4E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trPr>
        <w:tc>
          <w:tcPr>
            <w:tcW w:w="721" w:type="dxa"/>
            <w:tcBorders>
              <w:top w:val="single" w:color="auto" w:sz="4" w:space="0"/>
              <w:bottom w:val="single" w:color="auto" w:sz="4" w:space="0"/>
            </w:tcBorders>
            <w:vAlign w:val="center"/>
          </w:tcPr>
          <w:p w14:paraId="4D0192E4">
            <w:pPr>
              <w:keepNext w:val="0"/>
              <w:keepLines w:val="0"/>
              <w:widowControl/>
              <w:suppressLineNumbers w:val="0"/>
              <w:jc w:val="center"/>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i w:val="0"/>
                <w:iCs w:val="0"/>
                <w:color w:val="000000"/>
                <w:kern w:val="0"/>
                <w:sz w:val="24"/>
                <w:szCs w:val="24"/>
                <w:u w:val="none"/>
                <w:lang w:val="en-US" w:eastAsia="zh-CN" w:bidi="ar"/>
              </w:rPr>
              <w:t>4</w:t>
            </w:r>
          </w:p>
        </w:tc>
        <w:tc>
          <w:tcPr>
            <w:tcW w:w="1545" w:type="dxa"/>
            <w:tcBorders>
              <w:top w:val="single" w:color="auto" w:sz="4" w:space="0"/>
              <w:bottom w:val="single" w:color="auto" w:sz="4" w:space="0"/>
            </w:tcBorders>
            <w:vAlign w:val="center"/>
          </w:tcPr>
          <w:p w14:paraId="222113AE">
            <w:pPr>
              <w:keepNext w:val="0"/>
              <w:keepLines w:val="0"/>
              <w:widowControl/>
              <w:suppressLineNumbers w:val="0"/>
              <w:jc w:val="center"/>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i w:val="0"/>
                <w:iCs w:val="0"/>
                <w:color w:val="000000"/>
                <w:kern w:val="0"/>
                <w:sz w:val="24"/>
                <w:szCs w:val="24"/>
                <w:u w:val="none"/>
                <w:lang w:val="en-US" w:eastAsia="zh-CN" w:bidi="ar"/>
              </w:rPr>
              <w:t>标线</w:t>
            </w:r>
          </w:p>
        </w:tc>
        <w:tc>
          <w:tcPr>
            <w:tcW w:w="5640" w:type="dxa"/>
            <w:tcBorders>
              <w:top w:val="single" w:color="auto" w:sz="4" w:space="0"/>
              <w:bottom w:val="single" w:color="auto" w:sz="4" w:space="0"/>
            </w:tcBorders>
            <w:vAlign w:val="center"/>
          </w:tcPr>
          <w:p w14:paraId="2A76A790">
            <w:pPr>
              <w:keepNext w:val="0"/>
              <w:keepLines w:val="0"/>
              <w:widowControl/>
              <w:numPr>
                <w:ilvl w:val="0"/>
                <w:numId w:val="7"/>
              </w:numPr>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白色；</w:t>
            </w:r>
          </w:p>
          <w:p w14:paraId="77975C46">
            <w:pPr>
              <w:keepNext w:val="0"/>
              <w:keepLines w:val="0"/>
              <w:widowControl/>
              <w:numPr>
                <w:ilvl w:val="0"/>
                <w:numId w:val="0"/>
              </w:numPr>
              <w:suppressLineNumbers w:val="0"/>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cstheme="minorEastAsia"/>
                <w:i w:val="0"/>
                <w:iCs w:val="0"/>
                <w:color w:val="000000"/>
                <w:kern w:val="0"/>
                <w:sz w:val="24"/>
                <w:szCs w:val="24"/>
                <w:u w:val="none"/>
                <w:lang w:val="en-US" w:eastAsia="zh-CN" w:bidi="ar"/>
              </w:rPr>
              <w:t>2、</w:t>
            </w:r>
            <w:r>
              <w:rPr>
                <w:rFonts w:hint="eastAsia" w:asciiTheme="minorEastAsia" w:hAnsiTheme="minorEastAsia" w:eastAsiaTheme="minorEastAsia" w:cstheme="minorEastAsia"/>
                <w:i w:val="0"/>
                <w:iCs w:val="0"/>
                <w:color w:val="000000"/>
                <w:kern w:val="0"/>
                <w:sz w:val="24"/>
                <w:szCs w:val="24"/>
                <w:u w:val="none"/>
                <w:lang w:val="en-US" w:eastAsia="zh-CN" w:bidi="ar"/>
              </w:rPr>
              <w:t>宽度：100mm;</w:t>
            </w:r>
          </w:p>
          <w:p w14:paraId="30DA654C">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cstheme="minorEastAsia"/>
                <w:i w:val="0"/>
                <w:iCs w:val="0"/>
                <w:color w:val="000000"/>
                <w:kern w:val="0"/>
                <w:sz w:val="24"/>
                <w:szCs w:val="24"/>
                <w:u w:val="none"/>
                <w:lang w:val="en-US" w:eastAsia="zh-CN" w:bidi="ar"/>
              </w:rPr>
              <w:t>3、</w:t>
            </w:r>
            <w:r>
              <w:rPr>
                <w:rFonts w:hint="eastAsia" w:asciiTheme="minorEastAsia" w:hAnsiTheme="minorEastAsia" w:eastAsiaTheme="minorEastAsia" w:cstheme="minorEastAsia"/>
                <w:i w:val="0"/>
                <w:iCs w:val="0"/>
                <w:color w:val="000000"/>
                <w:kern w:val="0"/>
                <w:sz w:val="24"/>
                <w:szCs w:val="24"/>
                <w:u w:val="none"/>
                <w:lang w:val="en-US" w:eastAsia="zh-CN" w:bidi="ar"/>
              </w:rPr>
              <w:t>其他：未尽事宜详见设计图纸。</w:t>
            </w:r>
          </w:p>
        </w:tc>
        <w:tc>
          <w:tcPr>
            <w:tcW w:w="735" w:type="dxa"/>
            <w:tcBorders>
              <w:top w:val="single" w:color="auto" w:sz="4" w:space="0"/>
              <w:bottom w:val="single" w:color="auto" w:sz="4" w:space="0"/>
            </w:tcBorders>
            <w:vAlign w:val="center"/>
          </w:tcPr>
          <w:p w14:paraId="2CB3698B">
            <w:pPr>
              <w:keepNext w:val="0"/>
              <w:keepLines w:val="0"/>
              <w:widowControl/>
              <w:suppressLineNumbers w:val="0"/>
              <w:jc w:val="center"/>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i w:val="0"/>
                <w:iCs w:val="0"/>
                <w:color w:val="000000"/>
                <w:kern w:val="0"/>
                <w:sz w:val="24"/>
                <w:szCs w:val="24"/>
                <w:u w:val="none"/>
                <w:lang w:val="en-US" w:eastAsia="zh-CN" w:bidi="ar"/>
              </w:rPr>
              <w:t>m</w:t>
            </w:r>
          </w:p>
        </w:tc>
        <w:tc>
          <w:tcPr>
            <w:tcW w:w="1260" w:type="dxa"/>
            <w:tcBorders>
              <w:top w:val="single" w:color="auto" w:sz="4" w:space="0"/>
              <w:bottom w:val="single" w:color="auto" w:sz="4" w:space="0"/>
            </w:tcBorders>
            <w:vAlign w:val="center"/>
          </w:tcPr>
          <w:p w14:paraId="1CD92A9F">
            <w:pPr>
              <w:keepNext w:val="0"/>
              <w:keepLines w:val="0"/>
              <w:widowControl/>
              <w:suppressLineNumbers w:val="0"/>
              <w:jc w:val="center"/>
              <w:textAlignment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Theme="minorEastAsia" w:hAnsiTheme="minorEastAsia" w:eastAsiaTheme="minorEastAsia" w:cstheme="minorEastAsia"/>
                <w:i w:val="0"/>
                <w:iCs w:val="0"/>
                <w:color w:val="000000"/>
                <w:kern w:val="0"/>
                <w:sz w:val="24"/>
                <w:szCs w:val="24"/>
                <w:u w:val="none"/>
                <w:lang w:val="en-US" w:eastAsia="zh-CN" w:bidi="ar"/>
              </w:rPr>
              <w:t>1440</w:t>
            </w:r>
          </w:p>
        </w:tc>
        <w:tc>
          <w:tcPr>
            <w:tcW w:w="1260" w:type="dxa"/>
            <w:tcBorders>
              <w:top w:val="single" w:color="auto" w:sz="4" w:space="0"/>
              <w:bottom w:val="single" w:color="auto" w:sz="4" w:space="0"/>
            </w:tcBorders>
            <w:vAlign w:val="center"/>
          </w:tcPr>
          <w:p w14:paraId="2AE2AB45">
            <w:pPr>
              <w:jc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p>
        </w:tc>
        <w:tc>
          <w:tcPr>
            <w:tcW w:w="1241" w:type="dxa"/>
            <w:tcBorders>
              <w:top w:val="single" w:color="auto" w:sz="4" w:space="0"/>
              <w:bottom w:val="single" w:color="auto" w:sz="4" w:space="0"/>
            </w:tcBorders>
            <w:vAlign w:val="center"/>
          </w:tcPr>
          <w:p w14:paraId="6BF69FD2">
            <w:pPr>
              <w:jc w:val="center"/>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p>
        </w:tc>
        <w:tc>
          <w:tcPr>
            <w:tcW w:w="1772" w:type="dxa"/>
            <w:vMerge w:val="continue"/>
            <w:tcBorders>
              <w:bottom w:val="single" w:color="auto" w:sz="4" w:space="0"/>
            </w:tcBorders>
          </w:tcPr>
          <w:p w14:paraId="78241104">
            <w:pPr>
              <w:keepNext w:val="0"/>
              <w:keepLines w:val="0"/>
              <w:pageBreakBefore w:val="0"/>
              <w:widowControl w:val="0"/>
              <w:tabs>
                <w:tab w:val="left" w:pos="555"/>
              </w:tabs>
              <w:kinsoku/>
              <w:wordWrap/>
              <w:overflowPunct/>
              <w:topLinePunct w:val="0"/>
              <w:autoSpaceDE/>
              <w:autoSpaceDN/>
              <w:bidi w:val="0"/>
              <w:adjustRightInd/>
              <w:snapToGrid/>
              <w:spacing w:line="480" w:lineRule="auto"/>
              <w:textAlignment w:val="baseline"/>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p>
        </w:tc>
      </w:tr>
      <w:tr w14:paraId="3D175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14174" w:type="dxa"/>
            <w:gridSpan w:val="8"/>
            <w:tcBorders>
              <w:top w:val="single" w:color="auto" w:sz="4" w:space="0"/>
              <w:left w:val="nil"/>
              <w:bottom w:val="nil"/>
              <w:right w:val="nil"/>
            </w:tcBorders>
            <w:vAlign w:val="center"/>
          </w:tcPr>
          <w:p w14:paraId="402A0A91">
            <w:pPr>
              <w:keepNext w:val="0"/>
              <w:keepLines w:val="0"/>
              <w:pageBreakBefore w:val="0"/>
              <w:widowControl w:val="0"/>
              <w:tabs>
                <w:tab w:val="left" w:pos="555"/>
              </w:tabs>
              <w:kinsoku/>
              <w:wordWrap/>
              <w:overflowPunct/>
              <w:topLinePunct w:val="0"/>
              <w:autoSpaceDE/>
              <w:autoSpaceDN/>
              <w:bidi w:val="0"/>
              <w:adjustRightInd/>
              <w:snapToGrid/>
              <w:spacing w:line="480" w:lineRule="auto"/>
              <w:textAlignment w:val="baseline"/>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cs="宋体"/>
                <w:color w:val="000000"/>
                <w:kern w:val="0"/>
                <w:sz w:val="24"/>
                <w:szCs w:val="24"/>
              </w:rPr>
              <w:t>最终合计报价总金额（小写）：                              大写：</w:t>
            </w:r>
          </w:p>
        </w:tc>
      </w:tr>
      <w:tr w14:paraId="18A8E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4174" w:type="dxa"/>
            <w:gridSpan w:val="8"/>
            <w:tcBorders>
              <w:top w:val="nil"/>
              <w:left w:val="nil"/>
              <w:bottom w:val="nil"/>
              <w:right w:val="nil"/>
            </w:tcBorders>
            <w:vAlign w:val="top"/>
          </w:tcPr>
          <w:p w14:paraId="47A34977">
            <w:pPr>
              <w:keepNext w:val="0"/>
              <w:keepLines w:val="0"/>
              <w:pageBreakBefore w:val="0"/>
              <w:widowControl w:val="0"/>
              <w:tabs>
                <w:tab w:val="left" w:pos="555"/>
              </w:tabs>
              <w:kinsoku/>
              <w:wordWrap/>
              <w:overflowPunct/>
              <w:topLinePunct w:val="0"/>
              <w:autoSpaceDE/>
              <w:autoSpaceDN/>
              <w:bidi w:val="0"/>
              <w:adjustRightInd/>
              <w:snapToGrid/>
              <w:spacing w:line="480" w:lineRule="auto"/>
              <w:jc w:val="both"/>
              <w:textAlignment w:val="baseline"/>
              <w:rPr>
                <w:rFonts w:hint="eastAsia" w:ascii="宋体" w:hAnsi="宋体" w:eastAsia="宋体" w:cs="宋体"/>
                <w:color w:val="000000" w:themeColor="text1"/>
                <w:sz w:val="24"/>
                <w:szCs w:val="24"/>
                <w:highlight w:val="none"/>
                <w:vertAlign w:val="baseline"/>
                <w:lang w:val="en-US" w:eastAsia="zh-CN"/>
                <w14:textFill>
                  <w14:solidFill>
                    <w14:schemeClr w14:val="tx1"/>
                  </w14:solidFill>
                </w14:textFill>
              </w:rPr>
            </w:pPr>
            <w:r>
              <w:rPr>
                <w:rFonts w:hint="eastAsia" w:ascii="宋体" w:hAnsi="宋体" w:cs="宋体"/>
                <w:color w:val="000000"/>
                <w:kern w:val="0"/>
                <w:sz w:val="24"/>
                <w:szCs w:val="24"/>
              </w:rPr>
              <w:t>报价说明：</w:t>
            </w:r>
          </w:p>
        </w:tc>
      </w:tr>
      <w:tr w14:paraId="142D7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4174" w:type="dxa"/>
            <w:gridSpan w:val="8"/>
            <w:tcBorders>
              <w:top w:val="nil"/>
              <w:left w:val="nil"/>
              <w:bottom w:val="nil"/>
              <w:right w:val="nil"/>
            </w:tcBorders>
            <w:vAlign w:val="center"/>
          </w:tcPr>
          <w:p w14:paraId="6DB83742">
            <w:pPr>
              <w:keepNext w:val="0"/>
              <w:keepLines w:val="0"/>
              <w:pageBreakBefore w:val="0"/>
              <w:widowControl w:val="0"/>
              <w:tabs>
                <w:tab w:val="left" w:pos="555"/>
              </w:tabs>
              <w:kinsoku/>
              <w:wordWrap/>
              <w:overflowPunct/>
              <w:topLinePunct w:val="0"/>
              <w:autoSpaceDE/>
              <w:autoSpaceDN/>
              <w:bidi w:val="0"/>
              <w:adjustRightInd/>
              <w:snapToGrid/>
              <w:spacing w:line="480" w:lineRule="auto"/>
              <w:textAlignment w:val="baseline"/>
              <w:rPr>
                <w:rFonts w:hint="eastAsia" w:ascii="宋体" w:hAnsi="宋体" w:cs="宋体"/>
                <w:color w:val="000000"/>
                <w:kern w:val="0"/>
                <w:sz w:val="24"/>
                <w:szCs w:val="24"/>
              </w:rPr>
            </w:pPr>
            <w:r>
              <w:rPr>
                <w:rFonts w:hint="eastAsia" w:ascii="宋体" w:hAnsi="宋体" w:cs="宋体"/>
                <w:b/>
                <w:bCs/>
                <w:color w:val="000000"/>
                <w:kern w:val="0"/>
                <w:sz w:val="24"/>
                <w:szCs w:val="24"/>
              </w:rPr>
              <w:t>注：注明</w:t>
            </w:r>
            <w:r>
              <w:rPr>
                <w:rFonts w:hint="eastAsia" w:ascii="宋体" w:hAnsi="宋体" w:cs="宋体"/>
                <w:b/>
                <w:bCs/>
                <w:color w:val="000000"/>
                <w:kern w:val="0"/>
                <w:sz w:val="24"/>
                <w:szCs w:val="24"/>
                <w:lang w:val="en-US" w:eastAsia="zh-CN"/>
              </w:rPr>
              <w:t>材料参数及</w:t>
            </w:r>
            <w:r>
              <w:rPr>
                <w:rFonts w:hint="eastAsia" w:ascii="宋体" w:hAnsi="宋体" w:cs="宋体"/>
                <w:b/>
                <w:bCs/>
                <w:color w:val="000000"/>
                <w:kern w:val="0"/>
                <w:sz w:val="24"/>
                <w:szCs w:val="24"/>
              </w:rPr>
              <w:t>税点。</w:t>
            </w:r>
          </w:p>
        </w:tc>
      </w:tr>
    </w:tbl>
    <w:p w14:paraId="1144343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sectPr>
          <w:headerReference r:id="rId7" w:type="default"/>
          <w:pgSz w:w="16838" w:h="11906" w:orient="landscape"/>
          <w:pgMar w:top="1800" w:right="1440" w:bottom="1800" w:left="1440" w:header="851" w:footer="992" w:gutter="0"/>
          <w:pgNumType w:fmt="decimal"/>
          <w:cols w:space="425" w:num="1"/>
          <w:docGrid w:type="lines" w:linePitch="312" w:charSpace="0"/>
        </w:sectPr>
      </w:pPr>
    </w:p>
    <w:p w14:paraId="2567528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1、以上总价内包括完成本分包工程内的人工费、材料费、机械费、管理费、水电费、利润、税金、技术措施费、机械费、材料检测费、安全文明施工费等一切费用。</w:t>
      </w:r>
    </w:p>
    <w:p w14:paraId="3F6B1185">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2、本报价已包括完成施工所需的全部费用。报价为综合单价包干。</w:t>
      </w:r>
    </w:p>
    <w:p w14:paraId="0E482C5F">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3、按询价文件要求承包上述工程的施工、竣工。</w:t>
      </w:r>
    </w:p>
    <w:p w14:paraId="2FE4369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工期及质量承诺：一旦我方被选定为成交人，我方保证在合同签订后，具备施工条件后2日内进场，按照询价方工期要求完工，并确保工程质量符合设计图纸及规范要求。推迟工期3天以内，按1000元/天进行罚款，推迟超过3天，按2000元/天进行处罚。</w:t>
      </w:r>
      <w:bookmarkStart w:id="0" w:name="_GoBack"/>
      <w:bookmarkEnd w:id="0"/>
    </w:p>
    <w:p w14:paraId="4DE95E5A">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5、我司承诺：按照询价人最新的施工组织设计安排生产力，我司自愿接受询价人取消我司资格及罚没报价保证金。</w:t>
      </w:r>
    </w:p>
    <w:p w14:paraId="56245602">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6、如果我方被选定为成交人，我方将按照规定在签订合同前提交贰万元履约保证金或履约保函。如果我方违约，我方同意将履约保证金作为违约金的一部分，你方有权不予返还。</w:t>
      </w:r>
    </w:p>
    <w:p w14:paraId="14D24344">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7、除非另外达成协议并生效，你方的询价文件、成交通知书和本报价文件将构成约束我们双方的合同。</w:t>
      </w:r>
    </w:p>
    <w:p w14:paraId="7716A853">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2" w:firstLineChars="200"/>
        <w:textAlignment w:val="baseline"/>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8、我方承诺工期：签订合同后，在项目部通知具备施工条件后</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日内进场施工，沥青摊铺工期</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天，标线施工工期</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天，每个施工段总工期为</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天。</w:t>
      </w:r>
    </w:p>
    <w:p w14:paraId="40ECC01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注：工期承诺作为报价评比的依据。</w:t>
      </w:r>
    </w:p>
    <w:p w14:paraId="190E92A4">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报价单位：（盖章）</w:t>
      </w:r>
    </w:p>
    <w:p w14:paraId="071FF7F0">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单位地址：</w:t>
      </w:r>
    </w:p>
    <w:p w14:paraId="1D8AE427">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法定代表人：（签字、盖章）</w:t>
      </w:r>
    </w:p>
    <w:p w14:paraId="5C227197">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授权委托人：</w:t>
      </w:r>
    </w:p>
    <w:p w14:paraId="6CB8056C">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邮政编码：</w:t>
      </w:r>
    </w:p>
    <w:p w14:paraId="4FFEE91E">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电话、传真：</w:t>
      </w:r>
    </w:p>
    <w:p w14:paraId="131D11B0">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开户银行名称、帐号：</w:t>
      </w:r>
    </w:p>
    <w:p w14:paraId="6ED50A21">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开户行地址：</w:t>
      </w:r>
    </w:p>
    <w:p w14:paraId="62FA29CE">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7EB5956">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1DA26DD">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9ABCD26">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56CCE651">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A69D210">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8F3965B">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68018B5">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BDB5679">
      <w:pPr>
        <w:pStyle w:val="3"/>
        <w:rPr>
          <w:rFonts w:hint="eastAsia"/>
          <w:lang w:val="en-US" w:eastAsia="zh-CN"/>
        </w:rPr>
      </w:pPr>
    </w:p>
    <w:p w14:paraId="67D2D35A">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E464B75">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55F4D5E0">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871E3D3">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FCBE80B">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7057AA37">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17484DE">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CFB42CA">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53495C8">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附件2：</w:t>
      </w:r>
    </w:p>
    <w:p w14:paraId="2C4F768C">
      <w:pPr>
        <w:tabs>
          <w:tab w:val="left" w:pos="555"/>
        </w:tabs>
        <w:spacing w:line="640" w:lineRule="exact"/>
        <w:jc w:val="center"/>
        <w:textAlignment w:val="baseline"/>
        <w:rPr>
          <w:rFonts w:hint="eastAsia" w:ascii="宋体" w:hAnsi="宋体" w:eastAsia="宋体" w:cs="宋体"/>
          <w:b/>
          <w:sz w:val="44"/>
          <w:szCs w:val="44"/>
        </w:rPr>
      </w:pPr>
      <w:r>
        <w:rPr>
          <w:rFonts w:hint="eastAsia" w:ascii="宋体" w:hAnsi="宋体" w:eastAsia="宋体" w:cs="宋体"/>
          <w:b/>
          <w:sz w:val="44"/>
          <w:szCs w:val="44"/>
        </w:rPr>
        <w:t>法人授权委托书</w:t>
      </w:r>
    </w:p>
    <w:p w14:paraId="6BC6320F">
      <w:pPr>
        <w:tabs>
          <w:tab w:val="left" w:pos="555"/>
        </w:tabs>
        <w:spacing w:line="600" w:lineRule="exact"/>
        <w:textAlignment w:val="baseline"/>
        <w:rPr>
          <w:rFonts w:hint="eastAsia" w:ascii="宋体" w:hAnsi="宋体" w:eastAsia="宋体" w:cs="宋体"/>
          <w:sz w:val="24"/>
          <w:szCs w:val="24"/>
        </w:rPr>
      </w:pPr>
    </w:p>
    <w:p w14:paraId="3F6AEDE4">
      <w:pPr>
        <w:pStyle w:val="4"/>
        <w:snapToGrid w:val="0"/>
        <w:spacing w:line="600" w:lineRule="exact"/>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我</w:t>
      </w:r>
      <w:r>
        <w:rPr>
          <w:rFonts w:hint="eastAsia" w:ascii="宋体" w:hAnsi="宋体" w:eastAsia="宋体" w:cs="宋体"/>
          <w:sz w:val="24"/>
          <w:szCs w:val="24"/>
          <w:u w:val="single"/>
        </w:rPr>
        <w:t xml:space="preserve">（姓名）   </w:t>
      </w:r>
      <w:r>
        <w:rPr>
          <w:rFonts w:hint="eastAsia"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系</w:t>
      </w:r>
      <w:r>
        <w:rPr>
          <w:rFonts w:hint="eastAsia" w:hAnsi="宋体" w:eastAsia="宋体" w:cs="宋体"/>
          <w:sz w:val="24"/>
          <w:szCs w:val="24"/>
          <w:u w:val="single"/>
          <w:lang w:val="en-US" w:eastAsia="zh-CN"/>
        </w:rPr>
        <w:t xml:space="preserve">                  </w:t>
      </w:r>
      <w:r>
        <w:rPr>
          <w:rFonts w:hint="eastAsia" w:ascii="宋体" w:hAnsi="宋体" w:eastAsia="宋体" w:cs="宋体"/>
          <w:sz w:val="24"/>
          <w:szCs w:val="24"/>
        </w:rPr>
        <w:t>公司法定代表人。现授权我公司</w:t>
      </w:r>
      <w:r>
        <w:rPr>
          <w:rFonts w:hint="eastAsia" w:ascii="宋体" w:hAnsi="宋体" w:eastAsia="宋体" w:cs="宋体"/>
          <w:sz w:val="24"/>
          <w:szCs w:val="24"/>
          <w:u w:val="single"/>
        </w:rPr>
        <w:t>（姓名）          （身份证号：           ） 女士/先生，</w:t>
      </w:r>
      <w:r>
        <w:rPr>
          <w:rFonts w:hint="eastAsia" w:ascii="宋体" w:hAnsi="宋体" w:eastAsia="宋体" w:cs="宋体"/>
          <w:sz w:val="24"/>
          <w:szCs w:val="24"/>
        </w:rPr>
        <w:t xml:space="preserve"> 作为我公司合法代理人，以我公司名义并代表我公司全权处理</w:t>
      </w:r>
      <w:r>
        <w:rPr>
          <w:rFonts w:hint="eastAsia" w:ascii="宋体" w:hAnsi="宋体" w:eastAsia="宋体" w:cs="宋体"/>
          <w:b w:val="0"/>
          <w:bCs/>
          <w:sz w:val="24"/>
          <w:szCs w:val="24"/>
          <w:u w:val="single"/>
        </w:rPr>
        <w:t>潘集经济开发区（北区）基础设施提升项目经四路新建慢行道沥青面层及标线施工</w:t>
      </w:r>
      <w:r>
        <w:rPr>
          <w:rFonts w:hint="eastAsia" w:hAnsi="宋体" w:eastAsia="宋体" w:cs="宋体"/>
          <w:b w:val="0"/>
          <w:bCs/>
          <w:sz w:val="24"/>
          <w:szCs w:val="24"/>
          <w:u w:val="single"/>
          <w:lang w:val="en-US" w:eastAsia="zh-CN"/>
        </w:rPr>
        <w:t>分包</w:t>
      </w:r>
      <w:r>
        <w:rPr>
          <w:rFonts w:hint="eastAsia" w:ascii="宋体" w:hAnsi="宋体" w:eastAsia="宋体" w:cs="宋体"/>
          <w:sz w:val="24"/>
          <w:szCs w:val="24"/>
        </w:rPr>
        <w:t>工程项目的委托事宜。其在授权范围和有效期内，处理与之相关的一切事务所实施的行为均具有法律效力，我公司全部予以确认。</w:t>
      </w:r>
    </w:p>
    <w:p w14:paraId="701115EB">
      <w:pPr>
        <w:pStyle w:val="4"/>
        <w:snapToGrid w:val="0"/>
        <w:spacing w:line="600" w:lineRule="exact"/>
        <w:ind w:firstLine="480" w:firstLineChars="200"/>
        <w:textAlignment w:val="baseline"/>
        <w:rPr>
          <w:rFonts w:hint="eastAsia" w:ascii="宋体" w:hAnsi="宋体" w:eastAsia="宋体" w:cs="宋体"/>
          <w:sz w:val="24"/>
          <w:szCs w:val="24"/>
        </w:rPr>
      </w:pPr>
      <w:r>
        <w:rPr>
          <w:rFonts w:hint="eastAsia" w:ascii="宋体" w:hAnsi="宋体" w:eastAsia="宋体" w:cs="宋体"/>
          <w:sz w:val="24"/>
          <w:szCs w:val="24"/>
        </w:rPr>
        <w:t>本授权有效期限：自　　　年　　月　　日至　　年　　月　　日止。</w:t>
      </w:r>
    </w:p>
    <w:p w14:paraId="40DF8F1B">
      <w:pPr>
        <w:pStyle w:val="4"/>
        <w:snapToGrid w:val="0"/>
        <w:spacing w:line="600" w:lineRule="exact"/>
        <w:ind w:firstLine="420"/>
        <w:textAlignment w:val="baseline"/>
        <w:rPr>
          <w:rFonts w:hint="eastAsia" w:ascii="宋体" w:hAnsi="宋体" w:eastAsia="宋体" w:cs="宋体"/>
          <w:sz w:val="24"/>
          <w:szCs w:val="24"/>
        </w:rPr>
      </w:pPr>
    </w:p>
    <w:p w14:paraId="1397BF15">
      <w:pPr>
        <w:spacing w:line="600" w:lineRule="exact"/>
        <w:textAlignment w:val="baseline"/>
        <w:rPr>
          <w:rFonts w:hint="eastAsia" w:ascii="宋体" w:hAnsi="宋体" w:eastAsia="宋体" w:cs="宋体"/>
          <w:sz w:val="24"/>
          <w:szCs w:val="24"/>
        </w:rPr>
      </w:pPr>
      <w:r>
        <w:rPr>
          <w:rFonts w:hint="eastAsia" w:ascii="宋体" w:hAnsi="宋体" w:eastAsia="宋体" w:cs="宋体"/>
          <w:sz w:val="24"/>
          <w:szCs w:val="24"/>
        </w:rPr>
        <w:t>委托单位名称：（盖章）</w:t>
      </w:r>
    </w:p>
    <w:p w14:paraId="138640AF">
      <w:pPr>
        <w:spacing w:line="400" w:lineRule="exact"/>
        <w:ind w:firstLine="2400" w:firstLineChars="1000"/>
        <w:textAlignment w:val="baseline"/>
        <w:rPr>
          <w:rFonts w:hint="eastAsia" w:ascii="宋体" w:hAnsi="宋体" w:eastAsia="宋体" w:cs="宋体"/>
          <w:sz w:val="24"/>
          <w:szCs w:val="24"/>
        </w:rPr>
      </w:pPr>
    </w:p>
    <w:p w14:paraId="0F7DEF98">
      <w:pPr>
        <w:spacing w:line="400" w:lineRule="exact"/>
        <w:textAlignment w:val="baseline"/>
        <w:rPr>
          <w:rFonts w:hint="eastAsia" w:ascii="宋体" w:hAnsi="宋体" w:eastAsia="宋体" w:cs="宋体"/>
          <w:sz w:val="24"/>
          <w:szCs w:val="24"/>
        </w:rPr>
      </w:pPr>
      <w:r>
        <w:rPr>
          <w:rFonts w:hint="eastAsia" w:ascii="宋体" w:hAnsi="宋体" w:eastAsia="宋体" w:cs="宋体"/>
          <w:sz w:val="24"/>
          <w:szCs w:val="24"/>
        </w:rPr>
        <w:t>法定代表人姓名：（签名或盖章）</w:t>
      </w:r>
    </w:p>
    <w:p w14:paraId="6DA9E4CC">
      <w:pPr>
        <w:spacing w:line="400" w:lineRule="exact"/>
        <w:ind w:firstLine="3360"/>
        <w:jc w:val="center"/>
        <w:textAlignment w:val="baseline"/>
        <w:rPr>
          <w:rFonts w:hint="eastAsia" w:ascii="宋体" w:hAnsi="宋体" w:eastAsia="宋体" w:cs="宋体"/>
          <w:sz w:val="24"/>
          <w:szCs w:val="24"/>
        </w:rPr>
      </w:pPr>
      <w:r>
        <w:rPr>
          <w:rFonts w:hint="eastAsia" w:ascii="宋体" w:hAnsi="宋体" w:eastAsia="宋体" w:cs="宋体"/>
          <w:sz w:val="24"/>
          <w:szCs w:val="24"/>
        </w:rPr>
        <w:t>年   月   日</w:t>
      </w:r>
    </w:p>
    <w:p w14:paraId="0D339E86">
      <w:pPr>
        <w:spacing w:line="400" w:lineRule="exact"/>
        <w:ind w:firstLine="3360"/>
        <w:jc w:val="center"/>
        <w:textAlignment w:val="baseline"/>
        <w:rPr>
          <w:rFonts w:hint="eastAsia" w:ascii="宋体" w:hAnsi="宋体" w:eastAsia="宋体" w:cs="宋体"/>
          <w:sz w:val="24"/>
          <w:szCs w:val="24"/>
        </w:rPr>
      </w:pPr>
    </w:p>
    <w:p w14:paraId="6C05648E">
      <w:pPr>
        <w:spacing w:line="400" w:lineRule="exact"/>
        <w:textAlignment w:val="baseline"/>
        <w:rPr>
          <w:rFonts w:hint="eastAsia" w:ascii="宋体" w:hAnsi="宋体" w:eastAsia="宋体" w:cs="宋体"/>
          <w:sz w:val="24"/>
          <w:szCs w:val="24"/>
        </w:rPr>
      </w:pPr>
      <w:r>
        <w:rPr>
          <w:rFonts w:hint="eastAsia" w:ascii="宋体" w:hAnsi="宋体" w:eastAsia="宋体" w:cs="宋体"/>
          <w:sz w:val="24"/>
          <w:szCs w:val="24"/>
        </w:rPr>
        <w:t>注：1. 本委托书为法人授权委托被委托人在本工程专用，无委转委托权；</w:t>
      </w:r>
    </w:p>
    <w:p w14:paraId="78FFBC8C">
      <w:pPr>
        <w:spacing w:line="400" w:lineRule="exact"/>
        <w:ind w:firstLine="435"/>
        <w:textAlignment w:val="baseline"/>
        <w:rPr>
          <w:rFonts w:hint="eastAsia" w:ascii="宋体" w:hAnsi="宋体" w:eastAsia="宋体" w:cs="宋体"/>
          <w:color w:val="000000"/>
          <w:sz w:val="24"/>
          <w:szCs w:val="24"/>
        </w:rPr>
      </w:pPr>
      <w:r>
        <w:rPr>
          <w:rFonts w:hint="eastAsia" w:ascii="宋体" w:hAnsi="宋体" w:eastAsia="宋体" w:cs="宋体"/>
          <w:sz w:val="24"/>
          <w:szCs w:val="24"/>
        </w:rPr>
        <w:t>2. 授权委托书须由授权委托单位法定代表人签名或盖章，并说明委托事项和权限方为有效。</w:t>
      </w:r>
    </w:p>
    <w:p w14:paraId="17500A37">
      <w:pPr>
        <w:spacing w:line="400" w:lineRule="exact"/>
        <w:ind w:firstLine="435"/>
        <w:textAlignment w:val="baseline"/>
        <w:rPr>
          <w:rFonts w:hint="eastAsia" w:ascii="宋体" w:hAnsi="宋体" w:eastAsia="宋体" w:cs="宋体"/>
          <w:sz w:val="24"/>
          <w:szCs w:val="24"/>
        </w:rPr>
      </w:pPr>
      <w:r>
        <w:rPr>
          <w:rFonts w:hint="eastAsia" w:ascii="宋体" w:hAnsi="宋体" w:eastAsia="宋体" w:cs="宋体"/>
          <w:sz w:val="24"/>
          <w:szCs w:val="24"/>
        </w:rPr>
        <w:t>3. 法定代表人或被委托人须提供合法有效的身份证明证件；</w:t>
      </w:r>
    </w:p>
    <w:p w14:paraId="1F1BDC88">
      <w:pPr>
        <w:spacing w:line="400" w:lineRule="exact"/>
        <w:ind w:firstLine="435"/>
        <w:textAlignment w:val="baseline"/>
        <w:rPr>
          <w:rFonts w:hint="eastAsia" w:ascii="宋体" w:hAnsi="宋体" w:eastAsia="宋体" w:cs="宋体"/>
          <w:sz w:val="24"/>
          <w:szCs w:val="24"/>
        </w:rPr>
      </w:pPr>
      <w:r>
        <w:rPr>
          <w:rFonts w:hint="eastAsia" w:ascii="宋体" w:hAnsi="宋体" w:eastAsia="宋体" w:cs="宋体"/>
          <w:sz w:val="24"/>
          <w:szCs w:val="24"/>
        </w:rPr>
        <w:t>4. 此书一式三份。一份由委托人存查，二份递交询价人存卷。</w:t>
      </w:r>
    </w:p>
    <w:p w14:paraId="52ABF44D">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0" w:firstLineChars="200"/>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sectPr>
          <w:headerReference r:id="rId8" w:type="default"/>
          <w:pgSz w:w="11906" w:h="16838"/>
          <w:pgMar w:top="1440" w:right="1800" w:bottom="1440" w:left="1800" w:header="851" w:footer="992" w:gutter="0"/>
          <w:pgNumType w:fmt="decimal"/>
          <w:cols w:space="425" w:num="1"/>
          <w:docGrid w:type="lines" w:linePitch="312" w:charSpace="0"/>
        </w:sectPr>
      </w:pPr>
    </w:p>
    <w:p w14:paraId="271F1600">
      <w:pPr>
        <w:keepNext w:val="0"/>
        <w:keepLines w:val="0"/>
        <w:pageBreakBefore w:val="0"/>
        <w:widowControl w:val="0"/>
        <w:tabs>
          <w:tab w:val="left" w:pos="555"/>
        </w:tabs>
        <w:kinsoku/>
        <w:wordWrap/>
        <w:overflowPunct/>
        <w:topLinePunct w:val="0"/>
        <w:autoSpaceDE/>
        <w:autoSpaceDN/>
        <w:bidi w:val="0"/>
        <w:adjustRightInd/>
        <w:snapToGrid/>
        <w:spacing w:line="480" w:lineRule="auto"/>
        <w:jc w:val="left"/>
        <w:textAlignment w:val="baseline"/>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附件3：</w:t>
      </w:r>
    </w:p>
    <w:p w14:paraId="6E75E3F3">
      <w:pPr>
        <w:keepNext w:val="0"/>
        <w:keepLines w:val="0"/>
        <w:pageBreakBefore w:val="0"/>
        <w:widowControl w:val="0"/>
        <w:kinsoku/>
        <w:wordWrap/>
        <w:overflowPunct/>
        <w:topLinePunct w:val="0"/>
        <w:autoSpaceDE/>
        <w:autoSpaceDN/>
        <w:bidi w:val="0"/>
        <w:adjustRightInd/>
        <w:snapToGrid/>
        <w:spacing w:line="600" w:lineRule="auto"/>
        <w:jc w:val="center"/>
        <w:textAlignment w:val="auto"/>
        <w:rPr>
          <w:rFonts w:hint="eastAsia" w:ascii="宋体" w:hAnsi="宋体"/>
          <w:b/>
          <w:bCs/>
          <w:sz w:val="36"/>
          <w:szCs w:val="36"/>
        </w:rPr>
      </w:pPr>
      <w:r>
        <w:rPr>
          <w:rFonts w:hint="eastAsia" w:ascii="宋体" w:hAnsi="宋体"/>
          <w:b/>
          <w:bCs/>
          <w:sz w:val="36"/>
          <w:szCs w:val="36"/>
        </w:rPr>
        <w:t>潘集经济开发区（北区）基础设施提升项目经四路</w:t>
      </w:r>
    </w:p>
    <w:p w14:paraId="38EA1A5E">
      <w:pPr>
        <w:keepNext w:val="0"/>
        <w:keepLines w:val="0"/>
        <w:pageBreakBefore w:val="0"/>
        <w:widowControl w:val="0"/>
        <w:kinsoku/>
        <w:wordWrap/>
        <w:overflowPunct/>
        <w:topLinePunct w:val="0"/>
        <w:autoSpaceDE/>
        <w:autoSpaceDN/>
        <w:bidi w:val="0"/>
        <w:adjustRightInd/>
        <w:snapToGrid/>
        <w:spacing w:line="600" w:lineRule="auto"/>
        <w:jc w:val="center"/>
        <w:textAlignment w:val="auto"/>
        <w:rPr>
          <w:rFonts w:hint="eastAsia" w:ascii="宋体" w:hAnsi="宋体"/>
          <w:b/>
          <w:bCs/>
          <w:sz w:val="36"/>
          <w:szCs w:val="36"/>
        </w:rPr>
      </w:pPr>
      <w:r>
        <w:rPr>
          <w:rFonts w:hint="eastAsia" w:ascii="宋体" w:hAnsi="宋体"/>
          <w:b/>
          <w:bCs/>
          <w:sz w:val="36"/>
          <w:szCs w:val="36"/>
        </w:rPr>
        <w:t>新</w:t>
      </w:r>
      <w:r>
        <w:rPr>
          <w:rFonts w:hint="eastAsia" w:ascii="宋体" w:hAnsi="宋体"/>
          <w:b/>
          <w:bCs/>
          <w:sz w:val="36"/>
          <w:szCs w:val="36"/>
          <w:lang w:val="en-US" w:eastAsia="zh-CN"/>
        </w:rPr>
        <w:t>建</w:t>
      </w:r>
      <w:r>
        <w:rPr>
          <w:rFonts w:hint="eastAsia" w:ascii="宋体" w:hAnsi="宋体"/>
          <w:b/>
          <w:bCs/>
          <w:sz w:val="36"/>
          <w:szCs w:val="36"/>
        </w:rPr>
        <w:t>慢行道沥青面层工程技术要求</w:t>
      </w:r>
    </w:p>
    <w:p w14:paraId="39E82685">
      <w:pPr>
        <w:keepNext w:val="0"/>
        <w:keepLines w:val="0"/>
        <w:pageBreakBefore w:val="0"/>
        <w:widowControl w:val="0"/>
        <w:kinsoku/>
        <w:wordWrap/>
        <w:overflowPunct/>
        <w:topLinePunct w:val="0"/>
        <w:autoSpaceDE/>
        <w:autoSpaceDN/>
        <w:bidi w:val="0"/>
        <w:adjustRightInd/>
        <w:snapToGrid/>
        <w:spacing w:line="480" w:lineRule="auto"/>
        <w:jc w:val="left"/>
        <w:rPr>
          <w:rFonts w:hint="eastAsia"/>
          <w:sz w:val="24"/>
          <w:szCs w:val="24"/>
        </w:rPr>
      </w:pPr>
      <w:r>
        <w:rPr>
          <w:rFonts w:hint="eastAsia" w:ascii="宋体" w:hAnsi="宋体" w:eastAsia="宋体"/>
          <w:b/>
          <w:bCs/>
          <w:sz w:val="24"/>
          <w:szCs w:val="24"/>
          <w:lang w:val="en-US" w:eastAsia="zh-CN"/>
        </w:rPr>
        <w:t>1、</w:t>
      </w:r>
      <w:r>
        <w:rPr>
          <w:rFonts w:hint="eastAsia" w:ascii="Times New Roman" w:hAnsi="Times New Roman" w:eastAsia="宋体" w:cs="Times New Roman"/>
          <w:b/>
          <w:bCs/>
          <w:sz w:val="24"/>
          <w:szCs w:val="24"/>
        </w:rPr>
        <w:t>沥青技术要求</w:t>
      </w:r>
    </w:p>
    <w:p w14:paraId="7422C9AF">
      <w:pPr>
        <w:keepNext w:val="0"/>
        <w:keepLines w:val="0"/>
        <w:pageBreakBefore w:val="0"/>
        <w:widowControl w:val="0"/>
        <w:numPr>
          <w:ilvl w:val="0"/>
          <w:numId w:val="0"/>
        </w:numPr>
        <w:kinsoku/>
        <w:wordWrap/>
        <w:overflowPunct/>
        <w:topLinePunct w:val="0"/>
        <w:autoSpaceDE/>
        <w:autoSpaceDN/>
        <w:bidi w:val="0"/>
        <w:adjustRightInd/>
        <w:snapToGrid/>
        <w:spacing w:line="480" w:lineRule="auto"/>
        <w:rPr>
          <w:rFonts w:hint="eastAsia" w:cs="Times New Roman"/>
          <w:sz w:val="24"/>
          <w:szCs w:val="24"/>
          <w:lang w:eastAsia="zh-CN"/>
        </w:rPr>
      </w:pPr>
      <w:r>
        <w:rPr>
          <w:rFonts w:hint="eastAsia" w:ascii="Times New Roman" w:hAnsi="Times New Roman" w:eastAsia="宋体" w:cs="Times New Roman"/>
          <w:sz w:val="24"/>
          <w:szCs w:val="24"/>
        </w:rPr>
        <w:t>沥青</w:t>
      </w:r>
      <w:r>
        <w:rPr>
          <w:rFonts w:hint="eastAsia" w:ascii="Times New Roman" w:hAnsi="Times New Roman" w:eastAsia="宋体" w:cs="Times New Roman"/>
          <w:b w:val="0"/>
          <w:bCs w:val="0"/>
          <w:sz w:val="24"/>
          <w:szCs w:val="24"/>
        </w:rPr>
        <w:t>采用</w:t>
      </w:r>
      <w:r>
        <w:rPr>
          <w:rFonts w:hint="eastAsia" w:ascii="Times New Roman" w:hAnsi="Times New Roman" w:eastAsia="宋体" w:cs="Times New Roman"/>
          <w:b/>
          <w:bCs/>
          <w:sz w:val="24"/>
          <w:szCs w:val="24"/>
        </w:rPr>
        <w:t>A级70号道路石油沥青</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各项技术指标见下表</w:t>
      </w:r>
      <w:r>
        <w:rPr>
          <w:rFonts w:hint="eastAsia" w:cs="Times New Roman"/>
          <w:sz w:val="24"/>
          <w:szCs w:val="24"/>
          <w:lang w:eastAsia="zh-CN"/>
        </w:rPr>
        <w:t>：</w:t>
      </w:r>
    </w:p>
    <w:p w14:paraId="4FDC9323">
      <w:pPr>
        <w:keepNext w:val="0"/>
        <w:keepLines w:val="0"/>
        <w:pageBreakBefore w:val="0"/>
        <w:widowControl w:val="0"/>
        <w:kinsoku/>
        <w:wordWrap/>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b/>
          <w:kern w:val="0"/>
          <w:sz w:val="24"/>
          <w:szCs w:val="24"/>
          <w:lang w:val="zh-CN"/>
        </w:rPr>
      </w:pPr>
    </w:p>
    <w:p w14:paraId="2AB95FAB">
      <w:pPr>
        <w:keepNext w:val="0"/>
        <w:keepLines w:val="0"/>
        <w:pageBreakBefore w:val="0"/>
        <w:widowControl w:val="0"/>
        <w:kinsoku/>
        <w:wordWrap/>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b/>
          <w:kern w:val="0"/>
          <w:sz w:val="24"/>
          <w:szCs w:val="24"/>
          <w:lang w:val="zh-CN"/>
        </w:rPr>
      </w:pPr>
      <w:r>
        <w:rPr>
          <w:rFonts w:hint="default" w:ascii="Times New Roman" w:hAnsi="Times New Roman" w:eastAsia="宋体" w:cs="Times New Roman"/>
          <w:b/>
          <w:kern w:val="0"/>
          <w:sz w:val="24"/>
          <w:szCs w:val="24"/>
          <w:lang w:val="zh-CN"/>
        </w:rPr>
        <w:t>A级70号道路石油沥青质量技术要求</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4228"/>
        <w:gridCol w:w="3318"/>
      </w:tblGrid>
      <w:tr w14:paraId="2F1A2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14:paraId="2777FEC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一                            </w:t>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t>检验项目</w:t>
            </w:r>
          </w:p>
        </w:tc>
        <w:tc>
          <w:tcPr>
            <w:tcW w:w="3318" w:type="dxa"/>
            <w:noWrap w:val="0"/>
            <w:vAlign w:val="center"/>
          </w:tcPr>
          <w:p w14:paraId="4EC3EE3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技术要求</w:t>
            </w:r>
          </w:p>
        </w:tc>
      </w:tr>
      <w:tr w14:paraId="12287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14:paraId="2611DF2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针入度(25℃，100g </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bCs/>
                <w:sz w:val="24"/>
                <w:szCs w:val="24"/>
              </w:rPr>
              <w:t>5s)   (0.1mm)</w:t>
            </w:r>
          </w:p>
        </w:tc>
        <w:tc>
          <w:tcPr>
            <w:tcW w:w="3318" w:type="dxa"/>
            <w:noWrap w:val="0"/>
            <w:vAlign w:val="center"/>
          </w:tcPr>
          <w:p w14:paraId="05ED35B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60~80</w:t>
            </w:r>
          </w:p>
        </w:tc>
      </w:tr>
      <w:tr w14:paraId="6E168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14:paraId="36792AD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针入度指数PI</w:t>
            </w:r>
          </w:p>
        </w:tc>
        <w:tc>
          <w:tcPr>
            <w:tcW w:w="3318" w:type="dxa"/>
            <w:noWrap w:val="0"/>
            <w:vAlign w:val="center"/>
          </w:tcPr>
          <w:p w14:paraId="507B2D7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-1.5~+1.0</w:t>
            </w:r>
          </w:p>
        </w:tc>
      </w:tr>
      <w:tr w14:paraId="13F24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14:paraId="1A229C4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软化点（R&amp;B）（℃）                      不小于</w:t>
            </w:r>
          </w:p>
        </w:tc>
        <w:tc>
          <w:tcPr>
            <w:tcW w:w="3318" w:type="dxa"/>
            <w:noWrap w:val="0"/>
            <w:vAlign w:val="center"/>
          </w:tcPr>
          <w:p w14:paraId="275852C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46</w:t>
            </w:r>
          </w:p>
        </w:tc>
      </w:tr>
      <w:tr w14:paraId="3BD8A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14:paraId="0FAEED3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60℃动力粘度 (Pa·s)                        不小于</w:t>
            </w:r>
          </w:p>
        </w:tc>
        <w:tc>
          <w:tcPr>
            <w:tcW w:w="3318" w:type="dxa"/>
            <w:noWrap w:val="0"/>
            <w:vAlign w:val="center"/>
          </w:tcPr>
          <w:p w14:paraId="6BA23F1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180</w:t>
            </w:r>
          </w:p>
        </w:tc>
      </w:tr>
      <w:tr w14:paraId="005F8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14:paraId="20D5705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延度10℃，5cm/min (cm)                   不小于</w:t>
            </w:r>
          </w:p>
        </w:tc>
        <w:tc>
          <w:tcPr>
            <w:tcW w:w="3318" w:type="dxa"/>
            <w:noWrap w:val="0"/>
            <w:vAlign w:val="center"/>
          </w:tcPr>
          <w:p w14:paraId="07F6055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20</w:t>
            </w:r>
          </w:p>
        </w:tc>
      </w:tr>
      <w:tr w14:paraId="02E85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14:paraId="5812AA7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延度15℃，5cm/min (cm)                   不小于</w:t>
            </w:r>
          </w:p>
        </w:tc>
        <w:tc>
          <w:tcPr>
            <w:tcW w:w="3318" w:type="dxa"/>
            <w:noWrap w:val="0"/>
            <w:vAlign w:val="center"/>
          </w:tcPr>
          <w:p w14:paraId="07AA002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100</w:t>
            </w:r>
          </w:p>
        </w:tc>
      </w:tr>
      <w:tr w14:paraId="62D18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14:paraId="566322B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含蜡量（蒸馏法） (%)                     不大于</w:t>
            </w:r>
          </w:p>
        </w:tc>
        <w:tc>
          <w:tcPr>
            <w:tcW w:w="3318" w:type="dxa"/>
            <w:noWrap w:val="0"/>
            <w:vAlign w:val="center"/>
          </w:tcPr>
          <w:p w14:paraId="7E9C89B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2.2</w:t>
            </w:r>
          </w:p>
        </w:tc>
      </w:tr>
      <w:tr w14:paraId="04619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14:paraId="5969CBE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闪点（℃）                               不小于</w:t>
            </w:r>
          </w:p>
        </w:tc>
        <w:tc>
          <w:tcPr>
            <w:tcW w:w="3318" w:type="dxa"/>
            <w:noWrap w:val="0"/>
            <w:vAlign w:val="center"/>
          </w:tcPr>
          <w:p w14:paraId="41B122A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260</w:t>
            </w:r>
          </w:p>
        </w:tc>
      </w:tr>
      <w:tr w14:paraId="2C64E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14:paraId="2C5AED1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溶解度 (%)                               不小于</w:t>
            </w:r>
          </w:p>
        </w:tc>
        <w:tc>
          <w:tcPr>
            <w:tcW w:w="3318" w:type="dxa"/>
            <w:noWrap w:val="0"/>
            <w:vAlign w:val="center"/>
          </w:tcPr>
          <w:p w14:paraId="5195966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99.5</w:t>
            </w:r>
          </w:p>
        </w:tc>
      </w:tr>
      <w:tr w14:paraId="2175A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422" w:type="dxa"/>
            <w:vMerge w:val="restart"/>
            <w:tcBorders>
              <w:top w:val="single" w:color="auto" w:sz="4" w:space="0"/>
              <w:left w:val="single" w:color="auto" w:sz="4" w:space="0"/>
              <w:right w:val="single" w:color="auto" w:sz="4" w:space="0"/>
            </w:tcBorders>
            <w:noWrap w:val="0"/>
            <w:vAlign w:val="center"/>
          </w:tcPr>
          <w:p w14:paraId="031AF88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TFOT后</w:t>
            </w:r>
          </w:p>
        </w:tc>
        <w:tc>
          <w:tcPr>
            <w:tcW w:w="4228" w:type="dxa"/>
            <w:tcBorders>
              <w:top w:val="single" w:color="auto" w:sz="4" w:space="0"/>
              <w:left w:val="single" w:color="auto" w:sz="4" w:space="0"/>
              <w:bottom w:val="single" w:color="auto" w:sz="4" w:space="0"/>
              <w:right w:val="single" w:color="auto" w:sz="4" w:space="0"/>
            </w:tcBorders>
            <w:noWrap w:val="0"/>
            <w:vAlign w:val="center"/>
          </w:tcPr>
          <w:p w14:paraId="139A7AA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质量变化(%)                     不大于</w:t>
            </w:r>
          </w:p>
        </w:tc>
        <w:tc>
          <w:tcPr>
            <w:tcW w:w="3318" w:type="dxa"/>
            <w:tcBorders>
              <w:top w:val="single" w:color="auto" w:sz="4" w:space="0"/>
              <w:left w:val="single" w:color="auto" w:sz="4" w:space="0"/>
              <w:bottom w:val="single" w:color="auto" w:sz="4" w:space="0"/>
              <w:right w:val="single" w:color="auto" w:sz="4" w:space="0"/>
            </w:tcBorders>
            <w:noWrap w:val="0"/>
            <w:vAlign w:val="center"/>
          </w:tcPr>
          <w:p w14:paraId="23EB119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±0.8</w:t>
            </w:r>
          </w:p>
        </w:tc>
      </w:tr>
      <w:tr w14:paraId="3CDE2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422" w:type="dxa"/>
            <w:vMerge w:val="continue"/>
            <w:tcBorders>
              <w:left w:val="single" w:color="auto" w:sz="4" w:space="0"/>
              <w:right w:val="single" w:color="auto" w:sz="4" w:space="0"/>
            </w:tcBorders>
            <w:noWrap w:val="0"/>
            <w:vAlign w:val="center"/>
          </w:tcPr>
          <w:p w14:paraId="1C90602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p>
        </w:tc>
        <w:tc>
          <w:tcPr>
            <w:tcW w:w="4228" w:type="dxa"/>
            <w:tcBorders>
              <w:top w:val="single" w:color="auto" w:sz="4" w:space="0"/>
              <w:left w:val="single" w:color="auto" w:sz="4" w:space="0"/>
              <w:bottom w:val="single" w:color="auto" w:sz="4" w:space="0"/>
              <w:right w:val="single" w:color="auto" w:sz="4" w:space="0"/>
            </w:tcBorders>
            <w:noWrap w:val="0"/>
            <w:vAlign w:val="center"/>
          </w:tcPr>
          <w:p w14:paraId="432645B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残留针入度比 (%)                不小于</w:t>
            </w:r>
          </w:p>
        </w:tc>
        <w:tc>
          <w:tcPr>
            <w:tcW w:w="3318" w:type="dxa"/>
            <w:tcBorders>
              <w:top w:val="single" w:color="auto" w:sz="4" w:space="0"/>
              <w:left w:val="single" w:color="auto" w:sz="4" w:space="0"/>
              <w:bottom w:val="single" w:color="auto" w:sz="4" w:space="0"/>
              <w:right w:val="single" w:color="auto" w:sz="4" w:space="0"/>
            </w:tcBorders>
            <w:noWrap w:val="0"/>
            <w:vAlign w:val="center"/>
          </w:tcPr>
          <w:p w14:paraId="4FFBB37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61</w:t>
            </w:r>
          </w:p>
        </w:tc>
      </w:tr>
      <w:tr w14:paraId="338AE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422" w:type="dxa"/>
            <w:vMerge w:val="continue"/>
            <w:tcBorders>
              <w:left w:val="single" w:color="auto" w:sz="4" w:space="0"/>
              <w:right w:val="single" w:color="auto" w:sz="4" w:space="0"/>
            </w:tcBorders>
            <w:noWrap w:val="0"/>
            <w:vAlign w:val="center"/>
          </w:tcPr>
          <w:p w14:paraId="1B75ECE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p>
        </w:tc>
        <w:tc>
          <w:tcPr>
            <w:tcW w:w="4228" w:type="dxa"/>
            <w:tcBorders>
              <w:top w:val="single" w:color="auto" w:sz="4" w:space="0"/>
              <w:left w:val="single" w:color="auto" w:sz="4" w:space="0"/>
              <w:bottom w:val="single" w:color="auto" w:sz="4" w:space="0"/>
              <w:right w:val="single" w:color="auto" w:sz="4" w:space="0"/>
            </w:tcBorders>
            <w:noWrap w:val="0"/>
            <w:vAlign w:val="center"/>
          </w:tcPr>
          <w:p w14:paraId="28E1074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残留延度(10℃) (cm)              不小于</w:t>
            </w:r>
          </w:p>
        </w:tc>
        <w:tc>
          <w:tcPr>
            <w:tcW w:w="3318" w:type="dxa"/>
            <w:tcBorders>
              <w:top w:val="single" w:color="auto" w:sz="4" w:space="0"/>
              <w:left w:val="single" w:color="auto" w:sz="4" w:space="0"/>
              <w:bottom w:val="single" w:color="auto" w:sz="4" w:space="0"/>
              <w:right w:val="single" w:color="auto" w:sz="4" w:space="0"/>
            </w:tcBorders>
            <w:noWrap w:val="0"/>
            <w:vAlign w:val="center"/>
          </w:tcPr>
          <w:p w14:paraId="6D772DA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6</w:t>
            </w:r>
          </w:p>
        </w:tc>
      </w:tr>
      <w:tr w14:paraId="2AC18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14:paraId="1117480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密度(15℃，g/cm3)                         不小于</w:t>
            </w:r>
          </w:p>
        </w:tc>
        <w:tc>
          <w:tcPr>
            <w:tcW w:w="3318" w:type="dxa"/>
            <w:noWrap w:val="0"/>
            <w:vAlign w:val="center"/>
          </w:tcPr>
          <w:p w14:paraId="10E7C6E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实测记录</w:t>
            </w:r>
          </w:p>
        </w:tc>
      </w:tr>
    </w:tbl>
    <w:p w14:paraId="7A34FFB6">
      <w:pPr>
        <w:keepNext w:val="0"/>
        <w:keepLines w:val="0"/>
        <w:pageBreakBefore w:val="0"/>
        <w:widowControl w:val="0"/>
        <w:kinsoku/>
        <w:wordWrap/>
        <w:overflowPunct/>
        <w:topLinePunct w:val="0"/>
        <w:autoSpaceDE/>
        <w:autoSpaceDN/>
        <w:bidi w:val="0"/>
        <w:adjustRightInd/>
        <w:snapToGrid/>
        <w:spacing w:line="480" w:lineRule="auto"/>
        <w:jc w:val="left"/>
        <w:rPr>
          <w:rFonts w:hint="eastAsia" w:ascii="宋体" w:hAnsi="宋体" w:eastAsia="宋体"/>
          <w:b/>
          <w:bCs/>
          <w:sz w:val="24"/>
          <w:szCs w:val="24"/>
          <w:lang w:val="en-US" w:eastAsia="zh-CN"/>
        </w:rPr>
      </w:pPr>
    </w:p>
    <w:p w14:paraId="2CFD3242">
      <w:pPr>
        <w:keepNext w:val="0"/>
        <w:keepLines w:val="0"/>
        <w:pageBreakBefore w:val="0"/>
        <w:widowControl w:val="0"/>
        <w:kinsoku/>
        <w:wordWrap/>
        <w:overflowPunct/>
        <w:topLinePunct w:val="0"/>
        <w:autoSpaceDE/>
        <w:autoSpaceDN/>
        <w:bidi w:val="0"/>
        <w:adjustRightInd/>
        <w:snapToGrid/>
        <w:spacing w:line="480" w:lineRule="auto"/>
        <w:jc w:val="left"/>
        <w:rPr>
          <w:rFonts w:hint="default" w:ascii="宋体" w:hAnsi="宋体" w:eastAsia="宋体"/>
          <w:b/>
          <w:bCs/>
          <w:sz w:val="24"/>
          <w:szCs w:val="24"/>
          <w:lang w:val="en-US" w:eastAsia="zh-CN"/>
        </w:rPr>
      </w:pPr>
      <w:r>
        <w:rPr>
          <w:rFonts w:hint="eastAsia" w:ascii="宋体" w:hAnsi="宋体" w:eastAsia="宋体"/>
          <w:b/>
          <w:bCs/>
          <w:sz w:val="24"/>
          <w:szCs w:val="24"/>
          <w:lang w:val="en-US" w:eastAsia="zh-CN"/>
        </w:rPr>
        <w:t>2、</w:t>
      </w:r>
      <w:r>
        <w:rPr>
          <w:rFonts w:hint="default" w:ascii="宋体" w:hAnsi="宋体" w:eastAsia="宋体"/>
          <w:b/>
          <w:bCs/>
          <w:sz w:val="24"/>
          <w:szCs w:val="24"/>
          <w:lang w:val="en-US" w:eastAsia="zh-CN"/>
        </w:rPr>
        <w:t>沥青混合料的技术要求</w:t>
      </w:r>
    </w:p>
    <w:p w14:paraId="325852C6">
      <w:pPr>
        <w:keepNext w:val="0"/>
        <w:keepLines w:val="0"/>
        <w:pageBreakBefore w:val="0"/>
        <w:widowControl w:val="0"/>
        <w:numPr>
          <w:ilvl w:val="0"/>
          <w:numId w:val="0"/>
        </w:numPr>
        <w:kinsoku/>
        <w:wordWrap/>
        <w:overflowPunct/>
        <w:topLinePunct w:val="0"/>
        <w:autoSpaceDE/>
        <w:autoSpaceDN/>
        <w:bidi w:val="0"/>
        <w:adjustRightInd/>
        <w:snapToGrid/>
        <w:spacing w:line="480" w:lineRule="auto"/>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面层沥青混合料矿料级配原则上依据下表，采用骨架密实型级配</w:t>
      </w:r>
      <w:r>
        <w:rPr>
          <w:rFonts w:hint="eastAsia" w:ascii="Times New Roman" w:hAnsi="Times New Roman" w:eastAsia="宋体" w:cs="Times New Roman"/>
          <w:sz w:val="24"/>
          <w:szCs w:val="24"/>
          <w:lang w:eastAsia="zh-CN"/>
        </w:rPr>
        <w:t>。</w:t>
      </w:r>
    </w:p>
    <w:p w14:paraId="63EAE841">
      <w:pPr>
        <w:autoSpaceDE w:val="0"/>
        <w:autoSpaceDN w:val="0"/>
        <w:adjustRightInd w:val="0"/>
        <w:spacing w:line="360" w:lineRule="auto"/>
        <w:jc w:val="center"/>
        <w:rPr>
          <w:rFonts w:hint="default" w:ascii="Times New Roman" w:hAnsi="Times New Roman" w:eastAsia="宋体" w:cs="Times New Roman"/>
          <w:b/>
          <w:kern w:val="0"/>
          <w:sz w:val="24"/>
          <w:szCs w:val="24"/>
          <w:lang w:val="zh-CN"/>
        </w:rPr>
      </w:pPr>
      <w:r>
        <w:rPr>
          <w:rFonts w:hint="default" w:ascii="Times New Roman" w:hAnsi="Times New Roman" w:eastAsia="宋体" w:cs="Times New Roman"/>
          <w:b/>
          <w:kern w:val="0"/>
          <w:sz w:val="24"/>
          <w:szCs w:val="24"/>
          <w:lang w:val="zh-CN"/>
        </w:rPr>
        <w:t xml:space="preserve">面层沥青混合料矿料级配及沥青用量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3"/>
        <w:gridCol w:w="1141"/>
        <w:gridCol w:w="1111"/>
        <w:gridCol w:w="1162"/>
        <w:gridCol w:w="1162"/>
        <w:gridCol w:w="1162"/>
        <w:gridCol w:w="1162"/>
        <w:gridCol w:w="1500"/>
      </w:tblGrid>
      <w:tr w14:paraId="4331E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vMerge w:val="restart"/>
            <w:noWrap w:val="0"/>
            <w:vAlign w:val="center"/>
          </w:tcPr>
          <w:p w14:paraId="010CE07F">
            <w:pPr>
              <w:spacing w:line="360" w:lineRule="auto"/>
              <w:ind w:left="-2" w:leftChars="-1" w:firstLine="2"/>
              <w:jc w:val="center"/>
              <w:rPr>
                <w:rFonts w:hint="default" w:ascii="Times New Roman" w:hAnsi="Times New Roman" w:eastAsia="宋体" w:cs="Times New Roman"/>
                <w:b w:val="0"/>
                <w:bCs w:val="0"/>
                <w:kern w:val="10"/>
                <w:sz w:val="24"/>
                <w:szCs w:val="24"/>
              </w:rPr>
            </w:pPr>
            <w:r>
              <w:rPr>
                <w:rFonts w:hint="default" w:ascii="Times New Roman" w:hAnsi="Times New Roman" w:eastAsia="宋体" w:cs="Times New Roman"/>
                <w:b w:val="0"/>
                <w:bCs w:val="0"/>
                <w:kern w:val="10"/>
                <w:sz w:val="24"/>
                <w:szCs w:val="24"/>
              </w:rPr>
              <w:t>级配类型</w:t>
            </w:r>
          </w:p>
        </w:tc>
        <w:tc>
          <w:tcPr>
            <w:tcW w:w="8400" w:type="dxa"/>
            <w:gridSpan w:val="7"/>
            <w:noWrap w:val="0"/>
            <w:vAlign w:val="center"/>
          </w:tcPr>
          <w:p w14:paraId="1269807D">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通过下列筛孔（方孔筛，</w:t>
            </w:r>
            <w:r>
              <w:rPr>
                <w:rFonts w:hint="default" w:ascii="Times New Roman" w:hAnsi="Times New Roman" w:eastAsia="宋体" w:cs="Times New Roman"/>
                <w:b w:val="0"/>
                <w:bCs w:val="0"/>
                <w:w w:val="80"/>
                <w:sz w:val="24"/>
                <w:szCs w:val="24"/>
              </w:rPr>
              <w:t>mm）</w:t>
            </w:r>
            <w:r>
              <w:rPr>
                <w:rFonts w:hint="default" w:ascii="Times New Roman" w:hAnsi="Times New Roman" w:eastAsia="宋体" w:cs="Times New Roman"/>
                <w:b w:val="0"/>
                <w:bCs w:val="0"/>
                <w:sz w:val="24"/>
                <w:szCs w:val="24"/>
              </w:rPr>
              <w:t>的质量百分比（</w:t>
            </w:r>
            <w:r>
              <w:rPr>
                <w:rFonts w:hint="default" w:ascii="Times New Roman" w:hAnsi="Times New Roman" w:eastAsia="宋体" w:cs="Times New Roman"/>
                <w:b w:val="0"/>
                <w:bCs w:val="0"/>
                <w:w w:val="80"/>
                <w:sz w:val="24"/>
                <w:szCs w:val="24"/>
              </w:rPr>
              <w:t>%</w:t>
            </w:r>
            <w:r>
              <w:rPr>
                <w:rFonts w:hint="default" w:ascii="Times New Roman" w:hAnsi="Times New Roman" w:eastAsia="宋体" w:cs="Times New Roman"/>
                <w:b w:val="0"/>
                <w:bCs w:val="0"/>
                <w:sz w:val="24"/>
                <w:szCs w:val="24"/>
              </w:rPr>
              <w:t>）</w:t>
            </w:r>
          </w:p>
        </w:tc>
      </w:tr>
      <w:tr w14:paraId="1F0F6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vMerge w:val="continue"/>
            <w:noWrap w:val="0"/>
            <w:vAlign w:val="center"/>
          </w:tcPr>
          <w:p w14:paraId="527ADC80">
            <w:pPr>
              <w:spacing w:line="360" w:lineRule="auto"/>
              <w:jc w:val="center"/>
              <w:rPr>
                <w:rFonts w:hint="default" w:ascii="Times New Roman" w:hAnsi="Times New Roman" w:eastAsia="宋体" w:cs="Times New Roman"/>
                <w:b w:val="0"/>
                <w:bCs w:val="0"/>
                <w:sz w:val="24"/>
                <w:szCs w:val="24"/>
              </w:rPr>
            </w:pPr>
          </w:p>
        </w:tc>
        <w:tc>
          <w:tcPr>
            <w:tcW w:w="1141" w:type="dxa"/>
            <w:noWrap w:val="0"/>
            <w:vAlign w:val="center"/>
          </w:tcPr>
          <w:p w14:paraId="3BA8D822">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31.5</w:t>
            </w:r>
          </w:p>
        </w:tc>
        <w:tc>
          <w:tcPr>
            <w:tcW w:w="1111" w:type="dxa"/>
            <w:noWrap w:val="0"/>
            <w:vAlign w:val="center"/>
          </w:tcPr>
          <w:p w14:paraId="1FC648D9">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26.5</w:t>
            </w:r>
          </w:p>
        </w:tc>
        <w:tc>
          <w:tcPr>
            <w:tcW w:w="1162" w:type="dxa"/>
            <w:noWrap w:val="0"/>
            <w:vAlign w:val="center"/>
          </w:tcPr>
          <w:p w14:paraId="0C1B6CD5">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19.0</w:t>
            </w:r>
          </w:p>
        </w:tc>
        <w:tc>
          <w:tcPr>
            <w:tcW w:w="1162" w:type="dxa"/>
            <w:noWrap w:val="0"/>
            <w:vAlign w:val="center"/>
          </w:tcPr>
          <w:p w14:paraId="6E4930EA">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16.0</w:t>
            </w:r>
          </w:p>
        </w:tc>
        <w:tc>
          <w:tcPr>
            <w:tcW w:w="1162" w:type="dxa"/>
            <w:noWrap w:val="0"/>
            <w:vAlign w:val="center"/>
          </w:tcPr>
          <w:p w14:paraId="3CBBCB97">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13.2</w:t>
            </w:r>
          </w:p>
        </w:tc>
        <w:tc>
          <w:tcPr>
            <w:tcW w:w="1162" w:type="dxa"/>
            <w:noWrap w:val="0"/>
            <w:vAlign w:val="center"/>
          </w:tcPr>
          <w:p w14:paraId="03FB8BF1">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9.5</w:t>
            </w:r>
          </w:p>
        </w:tc>
        <w:tc>
          <w:tcPr>
            <w:tcW w:w="1500" w:type="dxa"/>
            <w:noWrap w:val="0"/>
            <w:vAlign w:val="center"/>
          </w:tcPr>
          <w:p w14:paraId="071C608B">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4.75</w:t>
            </w:r>
          </w:p>
        </w:tc>
      </w:tr>
      <w:tr w14:paraId="1CCD5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noWrap w:val="0"/>
            <w:vAlign w:val="center"/>
          </w:tcPr>
          <w:p w14:paraId="2B1FDD85">
            <w:pPr>
              <w:spacing w:line="360" w:lineRule="auto"/>
              <w:jc w:val="center"/>
              <w:rPr>
                <w:rFonts w:hint="default" w:ascii="Times New Roman" w:hAnsi="Times New Roman" w:eastAsia="宋体" w:cs="Times New Roman"/>
                <w:b w:val="0"/>
                <w:bCs w:val="0"/>
                <w:w w:val="85"/>
                <w:sz w:val="24"/>
                <w:szCs w:val="24"/>
              </w:rPr>
            </w:pPr>
            <w:r>
              <w:rPr>
                <w:rFonts w:hint="default" w:ascii="Times New Roman" w:hAnsi="Times New Roman" w:eastAsia="宋体" w:cs="Times New Roman"/>
                <w:b w:val="0"/>
                <w:bCs w:val="0"/>
                <w:w w:val="85"/>
                <w:sz w:val="24"/>
                <w:szCs w:val="24"/>
              </w:rPr>
              <w:t>AC-13</w:t>
            </w:r>
          </w:p>
        </w:tc>
        <w:tc>
          <w:tcPr>
            <w:tcW w:w="1141" w:type="dxa"/>
            <w:noWrap w:val="0"/>
            <w:vAlign w:val="center"/>
          </w:tcPr>
          <w:p w14:paraId="16E4E848">
            <w:pPr>
              <w:spacing w:line="360" w:lineRule="auto"/>
              <w:jc w:val="center"/>
              <w:rPr>
                <w:rFonts w:hint="default" w:ascii="Times New Roman" w:hAnsi="Times New Roman" w:eastAsia="宋体" w:cs="Times New Roman"/>
                <w:b w:val="0"/>
                <w:bCs w:val="0"/>
                <w:sz w:val="24"/>
                <w:szCs w:val="24"/>
              </w:rPr>
            </w:pPr>
          </w:p>
        </w:tc>
        <w:tc>
          <w:tcPr>
            <w:tcW w:w="1111" w:type="dxa"/>
            <w:noWrap w:val="0"/>
            <w:vAlign w:val="center"/>
          </w:tcPr>
          <w:p w14:paraId="51AF4990">
            <w:pPr>
              <w:spacing w:line="360" w:lineRule="auto"/>
              <w:jc w:val="center"/>
              <w:rPr>
                <w:rFonts w:hint="default" w:ascii="Times New Roman" w:hAnsi="Times New Roman" w:eastAsia="宋体" w:cs="Times New Roman"/>
                <w:b w:val="0"/>
                <w:bCs w:val="0"/>
                <w:sz w:val="24"/>
                <w:szCs w:val="24"/>
              </w:rPr>
            </w:pPr>
          </w:p>
        </w:tc>
        <w:tc>
          <w:tcPr>
            <w:tcW w:w="1162" w:type="dxa"/>
            <w:noWrap w:val="0"/>
            <w:vAlign w:val="center"/>
          </w:tcPr>
          <w:p w14:paraId="32C136A3">
            <w:pPr>
              <w:spacing w:line="360" w:lineRule="auto"/>
              <w:jc w:val="center"/>
              <w:rPr>
                <w:rFonts w:hint="default" w:ascii="Times New Roman" w:hAnsi="Times New Roman" w:eastAsia="宋体" w:cs="Times New Roman"/>
                <w:b w:val="0"/>
                <w:bCs w:val="0"/>
                <w:sz w:val="24"/>
                <w:szCs w:val="24"/>
              </w:rPr>
            </w:pPr>
          </w:p>
        </w:tc>
        <w:tc>
          <w:tcPr>
            <w:tcW w:w="1162" w:type="dxa"/>
            <w:noWrap w:val="0"/>
            <w:vAlign w:val="center"/>
          </w:tcPr>
          <w:p w14:paraId="1021D461">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100</w:t>
            </w:r>
          </w:p>
        </w:tc>
        <w:tc>
          <w:tcPr>
            <w:tcW w:w="1162" w:type="dxa"/>
            <w:noWrap w:val="0"/>
            <w:vAlign w:val="center"/>
          </w:tcPr>
          <w:p w14:paraId="3710B58C">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90～100</w:t>
            </w:r>
          </w:p>
        </w:tc>
        <w:tc>
          <w:tcPr>
            <w:tcW w:w="1162" w:type="dxa"/>
            <w:noWrap w:val="0"/>
            <w:vAlign w:val="center"/>
          </w:tcPr>
          <w:p w14:paraId="2A84A030">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68～85</w:t>
            </w:r>
          </w:p>
        </w:tc>
        <w:tc>
          <w:tcPr>
            <w:tcW w:w="1500" w:type="dxa"/>
            <w:noWrap w:val="0"/>
            <w:vAlign w:val="center"/>
          </w:tcPr>
          <w:p w14:paraId="2E7F272D">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38～68</w:t>
            </w:r>
          </w:p>
        </w:tc>
      </w:tr>
      <w:tr w14:paraId="18782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noWrap w:val="0"/>
            <w:vAlign w:val="center"/>
          </w:tcPr>
          <w:p w14:paraId="706CC4BF">
            <w:pPr>
              <w:spacing w:line="360" w:lineRule="auto"/>
              <w:jc w:val="center"/>
              <w:rPr>
                <w:rFonts w:hint="default" w:ascii="Times New Roman" w:hAnsi="Times New Roman" w:eastAsia="宋体" w:cs="Times New Roman"/>
                <w:b w:val="0"/>
                <w:bCs w:val="0"/>
                <w:w w:val="85"/>
                <w:sz w:val="24"/>
                <w:szCs w:val="24"/>
              </w:rPr>
            </w:pPr>
            <w:r>
              <w:rPr>
                <w:rFonts w:hint="default" w:ascii="Times New Roman" w:hAnsi="Times New Roman" w:eastAsia="宋体" w:cs="Times New Roman"/>
                <w:b w:val="0"/>
                <w:bCs w:val="0"/>
                <w:w w:val="85"/>
                <w:sz w:val="24"/>
                <w:szCs w:val="24"/>
              </w:rPr>
              <w:t>AC-16</w:t>
            </w:r>
          </w:p>
        </w:tc>
        <w:tc>
          <w:tcPr>
            <w:tcW w:w="1141" w:type="dxa"/>
            <w:noWrap w:val="0"/>
            <w:vAlign w:val="center"/>
          </w:tcPr>
          <w:p w14:paraId="53153C92">
            <w:pPr>
              <w:spacing w:line="360" w:lineRule="auto"/>
              <w:jc w:val="center"/>
              <w:rPr>
                <w:rFonts w:hint="default" w:ascii="Times New Roman" w:hAnsi="Times New Roman" w:eastAsia="宋体" w:cs="Times New Roman"/>
                <w:b w:val="0"/>
                <w:bCs w:val="0"/>
                <w:sz w:val="24"/>
                <w:szCs w:val="24"/>
              </w:rPr>
            </w:pPr>
          </w:p>
        </w:tc>
        <w:tc>
          <w:tcPr>
            <w:tcW w:w="1111" w:type="dxa"/>
            <w:noWrap w:val="0"/>
            <w:vAlign w:val="center"/>
          </w:tcPr>
          <w:p w14:paraId="2F174B3C">
            <w:pPr>
              <w:spacing w:line="360" w:lineRule="auto"/>
              <w:jc w:val="center"/>
              <w:rPr>
                <w:rFonts w:hint="default" w:ascii="Times New Roman" w:hAnsi="Times New Roman" w:eastAsia="宋体" w:cs="Times New Roman"/>
                <w:b w:val="0"/>
                <w:bCs w:val="0"/>
                <w:sz w:val="24"/>
                <w:szCs w:val="24"/>
              </w:rPr>
            </w:pPr>
          </w:p>
        </w:tc>
        <w:tc>
          <w:tcPr>
            <w:tcW w:w="1162" w:type="dxa"/>
            <w:noWrap w:val="0"/>
            <w:vAlign w:val="center"/>
          </w:tcPr>
          <w:p w14:paraId="0C3617F1">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100</w:t>
            </w:r>
          </w:p>
        </w:tc>
        <w:tc>
          <w:tcPr>
            <w:tcW w:w="1162" w:type="dxa"/>
            <w:noWrap w:val="0"/>
            <w:vAlign w:val="center"/>
          </w:tcPr>
          <w:p w14:paraId="3199F3DE">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90～100</w:t>
            </w:r>
          </w:p>
        </w:tc>
        <w:tc>
          <w:tcPr>
            <w:tcW w:w="1162" w:type="dxa"/>
            <w:noWrap w:val="0"/>
            <w:vAlign w:val="center"/>
          </w:tcPr>
          <w:p w14:paraId="4D2B3021">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76～92</w:t>
            </w:r>
          </w:p>
        </w:tc>
        <w:tc>
          <w:tcPr>
            <w:tcW w:w="1162" w:type="dxa"/>
            <w:noWrap w:val="0"/>
            <w:vAlign w:val="center"/>
          </w:tcPr>
          <w:p w14:paraId="75A6773F">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60～80</w:t>
            </w:r>
          </w:p>
        </w:tc>
        <w:tc>
          <w:tcPr>
            <w:tcW w:w="1500" w:type="dxa"/>
            <w:noWrap w:val="0"/>
            <w:vAlign w:val="center"/>
          </w:tcPr>
          <w:p w14:paraId="03B8F6BE">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34～62</w:t>
            </w:r>
          </w:p>
        </w:tc>
      </w:tr>
      <w:tr w14:paraId="10481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163" w:type="dxa"/>
            <w:gridSpan w:val="7"/>
            <w:noWrap w:val="0"/>
            <w:vAlign w:val="center"/>
          </w:tcPr>
          <w:p w14:paraId="0F9E2E7C">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通过下列筛孔（方孔筛，</w:t>
            </w:r>
            <w:r>
              <w:rPr>
                <w:rFonts w:hint="default" w:ascii="Times New Roman" w:hAnsi="Times New Roman" w:eastAsia="宋体" w:cs="Times New Roman"/>
                <w:b w:val="0"/>
                <w:bCs w:val="0"/>
                <w:w w:val="80"/>
                <w:sz w:val="24"/>
                <w:szCs w:val="24"/>
              </w:rPr>
              <w:t>mm）</w:t>
            </w:r>
            <w:r>
              <w:rPr>
                <w:rFonts w:hint="default" w:ascii="Times New Roman" w:hAnsi="Times New Roman" w:eastAsia="宋体" w:cs="Times New Roman"/>
                <w:b w:val="0"/>
                <w:bCs w:val="0"/>
                <w:sz w:val="24"/>
                <w:szCs w:val="24"/>
              </w:rPr>
              <w:t>的质量百分比（</w:t>
            </w:r>
            <w:r>
              <w:rPr>
                <w:rFonts w:hint="default" w:ascii="Times New Roman" w:hAnsi="Times New Roman" w:eastAsia="宋体" w:cs="Times New Roman"/>
                <w:b w:val="0"/>
                <w:bCs w:val="0"/>
                <w:w w:val="80"/>
                <w:sz w:val="24"/>
                <w:szCs w:val="24"/>
              </w:rPr>
              <w:t>%</w:t>
            </w:r>
            <w:r>
              <w:rPr>
                <w:rFonts w:hint="default" w:ascii="Times New Roman" w:hAnsi="Times New Roman" w:eastAsia="宋体" w:cs="Times New Roman"/>
                <w:b w:val="0"/>
                <w:bCs w:val="0"/>
                <w:sz w:val="24"/>
                <w:szCs w:val="24"/>
              </w:rPr>
              <w:t>）</w:t>
            </w:r>
          </w:p>
        </w:tc>
        <w:tc>
          <w:tcPr>
            <w:tcW w:w="1500" w:type="dxa"/>
            <w:vMerge w:val="restart"/>
            <w:noWrap w:val="0"/>
            <w:vAlign w:val="center"/>
          </w:tcPr>
          <w:p w14:paraId="7BE6E8FF">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沥青用量（</w:t>
            </w:r>
            <w:r>
              <w:rPr>
                <w:rFonts w:hint="default" w:ascii="Times New Roman" w:hAnsi="Times New Roman" w:eastAsia="宋体" w:cs="Times New Roman"/>
                <w:b w:val="0"/>
                <w:bCs w:val="0"/>
                <w:w w:val="80"/>
                <w:sz w:val="24"/>
                <w:szCs w:val="24"/>
              </w:rPr>
              <w:t>%）</w:t>
            </w:r>
          </w:p>
        </w:tc>
      </w:tr>
      <w:tr w14:paraId="2ADBF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noWrap w:val="0"/>
            <w:vAlign w:val="center"/>
          </w:tcPr>
          <w:p w14:paraId="6987FFE3">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kern w:val="10"/>
                <w:sz w:val="24"/>
                <w:szCs w:val="24"/>
              </w:rPr>
              <w:t>级配类型</w:t>
            </w:r>
          </w:p>
        </w:tc>
        <w:tc>
          <w:tcPr>
            <w:tcW w:w="1141" w:type="dxa"/>
            <w:noWrap w:val="0"/>
            <w:vAlign w:val="center"/>
          </w:tcPr>
          <w:p w14:paraId="46C6612E">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2.36</w:t>
            </w:r>
          </w:p>
        </w:tc>
        <w:tc>
          <w:tcPr>
            <w:tcW w:w="1111" w:type="dxa"/>
            <w:noWrap w:val="0"/>
            <w:vAlign w:val="center"/>
          </w:tcPr>
          <w:p w14:paraId="065E6ABD">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1.18</w:t>
            </w:r>
          </w:p>
        </w:tc>
        <w:tc>
          <w:tcPr>
            <w:tcW w:w="1162" w:type="dxa"/>
            <w:noWrap w:val="0"/>
            <w:vAlign w:val="center"/>
          </w:tcPr>
          <w:p w14:paraId="708C9287">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0.6</w:t>
            </w:r>
          </w:p>
        </w:tc>
        <w:tc>
          <w:tcPr>
            <w:tcW w:w="1162" w:type="dxa"/>
            <w:noWrap w:val="0"/>
            <w:vAlign w:val="center"/>
          </w:tcPr>
          <w:p w14:paraId="242E6357">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0.3</w:t>
            </w:r>
          </w:p>
        </w:tc>
        <w:tc>
          <w:tcPr>
            <w:tcW w:w="1162" w:type="dxa"/>
            <w:noWrap w:val="0"/>
            <w:vAlign w:val="center"/>
          </w:tcPr>
          <w:p w14:paraId="5E028C72">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0.15</w:t>
            </w:r>
          </w:p>
        </w:tc>
        <w:tc>
          <w:tcPr>
            <w:tcW w:w="1162" w:type="dxa"/>
            <w:noWrap w:val="0"/>
            <w:vAlign w:val="center"/>
          </w:tcPr>
          <w:p w14:paraId="66DF7B4B">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0.075</w:t>
            </w:r>
          </w:p>
        </w:tc>
        <w:tc>
          <w:tcPr>
            <w:tcW w:w="1500" w:type="dxa"/>
            <w:vMerge w:val="continue"/>
            <w:noWrap w:val="0"/>
            <w:vAlign w:val="center"/>
          </w:tcPr>
          <w:p w14:paraId="4DAE17FD">
            <w:pPr>
              <w:spacing w:line="360" w:lineRule="auto"/>
              <w:jc w:val="center"/>
              <w:rPr>
                <w:rFonts w:hint="default" w:ascii="Times New Roman" w:hAnsi="Times New Roman" w:eastAsia="宋体" w:cs="Times New Roman"/>
                <w:b w:val="0"/>
                <w:bCs w:val="0"/>
                <w:sz w:val="24"/>
                <w:szCs w:val="24"/>
              </w:rPr>
            </w:pPr>
          </w:p>
        </w:tc>
      </w:tr>
      <w:tr w14:paraId="42F56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noWrap w:val="0"/>
            <w:vAlign w:val="center"/>
          </w:tcPr>
          <w:p w14:paraId="71692648">
            <w:pPr>
              <w:spacing w:line="360" w:lineRule="auto"/>
              <w:jc w:val="center"/>
              <w:rPr>
                <w:rFonts w:hint="default" w:ascii="Times New Roman" w:hAnsi="Times New Roman" w:eastAsia="宋体" w:cs="Times New Roman"/>
                <w:b w:val="0"/>
                <w:bCs w:val="0"/>
                <w:w w:val="85"/>
                <w:sz w:val="24"/>
                <w:szCs w:val="24"/>
              </w:rPr>
            </w:pPr>
            <w:r>
              <w:rPr>
                <w:rFonts w:hint="default" w:ascii="Times New Roman" w:hAnsi="Times New Roman" w:eastAsia="宋体" w:cs="Times New Roman"/>
                <w:b w:val="0"/>
                <w:bCs w:val="0"/>
                <w:w w:val="85"/>
                <w:sz w:val="24"/>
                <w:szCs w:val="24"/>
              </w:rPr>
              <w:t>AC-13</w:t>
            </w:r>
          </w:p>
        </w:tc>
        <w:tc>
          <w:tcPr>
            <w:tcW w:w="1141" w:type="dxa"/>
            <w:noWrap w:val="0"/>
            <w:vAlign w:val="center"/>
          </w:tcPr>
          <w:p w14:paraId="580A4AB6">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24～50</w:t>
            </w:r>
          </w:p>
        </w:tc>
        <w:tc>
          <w:tcPr>
            <w:tcW w:w="1111" w:type="dxa"/>
            <w:noWrap w:val="0"/>
            <w:vAlign w:val="center"/>
          </w:tcPr>
          <w:p w14:paraId="6EF79D09">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15～38</w:t>
            </w:r>
          </w:p>
        </w:tc>
        <w:tc>
          <w:tcPr>
            <w:tcW w:w="1162" w:type="dxa"/>
            <w:noWrap w:val="0"/>
            <w:vAlign w:val="center"/>
          </w:tcPr>
          <w:p w14:paraId="62779891">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10～28</w:t>
            </w:r>
          </w:p>
        </w:tc>
        <w:tc>
          <w:tcPr>
            <w:tcW w:w="1162" w:type="dxa"/>
            <w:noWrap w:val="0"/>
            <w:vAlign w:val="center"/>
          </w:tcPr>
          <w:p w14:paraId="1AD4D7E7">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7～20</w:t>
            </w:r>
          </w:p>
        </w:tc>
        <w:tc>
          <w:tcPr>
            <w:tcW w:w="1162" w:type="dxa"/>
            <w:noWrap w:val="0"/>
            <w:vAlign w:val="center"/>
          </w:tcPr>
          <w:p w14:paraId="702D6FE4">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5～15</w:t>
            </w:r>
          </w:p>
        </w:tc>
        <w:tc>
          <w:tcPr>
            <w:tcW w:w="1162" w:type="dxa"/>
            <w:noWrap w:val="0"/>
            <w:vAlign w:val="center"/>
          </w:tcPr>
          <w:p w14:paraId="34DB7534">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4～8</w:t>
            </w:r>
          </w:p>
        </w:tc>
        <w:tc>
          <w:tcPr>
            <w:tcW w:w="1500" w:type="dxa"/>
            <w:noWrap w:val="0"/>
            <w:vAlign w:val="center"/>
          </w:tcPr>
          <w:p w14:paraId="58D00192">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z w:val="24"/>
                <w:szCs w:val="24"/>
              </w:rPr>
              <w:t>4.0～6.0</w:t>
            </w:r>
          </w:p>
        </w:tc>
      </w:tr>
      <w:tr w14:paraId="647B3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noWrap w:val="0"/>
            <w:vAlign w:val="center"/>
          </w:tcPr>
          <w:p w14:paraId="13B62A3C">
            <w:pPr>
              <w:spacing w:line="360" w:lineRule="auto"/>
              <w:jc w:val="center"/>
              <w:rPr>
                <w:rFonts w:hint="default" w:ascii="Times New Roman" w:hAnsi="Times New Roman" w:eastAsia="宋体" w:cs="Times New Roman"/>
                <w:b w:val="0"/>
                <w:bCs w:val="0"/>
                <w:w w:val="85"/>
                <w:sz w:val="24"/>
                <w:szCs w:val="24"/>
              </w:rPr>
            </w:pPr>
            <w:r>
              <w:rPr>
                <w:rFonts w:hint="default" w:ascii="Times New Roman" w:hAnsi="Times New Roman" w:eastAsia="宋体" w:cs="Times New Roman"/>
                <w:b w:val="0"/>
                <w:bCs w:val="0"/>
                <w:w w:val="85"/>
                <w:sz w:val="24"/>
                <w:szCs w:val="24"/>
              </w:rPr>
              <w:t>AC-16</w:t>
            </w:r>
          </w:p>
        </w:tc>
        <w:tc>
          <w:tcPr>
            <w:tcW w:w="1141" w:type="dxa"/>
            <w:noWrap w:val="0"/>
            <w:vAlign w:val="center"/>
          </w:tcPr>
          <w:p w14:paraId="5F97AEB5">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20～48</w:t>
            </w:r>
          </w:p>
        </w:tc>
        <w:tc>
          <w:tcPr>
            <w:tcW w:w="1111" w:type="dxa"/>
            <w:noWrap w:val="0"/>
            <w:vAlign w:val="center"/>
          </w:tcPr>
          <w:p w14:paraId="1EA47E50">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0"/>
                <w:sz w:val="24"/>
                <w:szCs w:val="24"/>
              </w:rPr>
              <w:t>13～36</w:t>
            </w:r>
          </w:p>
        </w:tc>
        <w:tc>
          <w:tcPr>
            <w:tcW w:w="1162" w:type="dxa"/>
            <w:noWrap w:val="0"/>
            <w:vAlign w:val="center"/>
          </w:tcPr>
          <w:p w14:paraId="296FD8F7">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0"/>
                <w:sz w:val="24"/>
                <w:szCs w:val="24"/>
              </w:rPr>
              <w:t>9～26</w:t>
            </w:r>
          </w:p>
        </w:tc>
        <w:tc>
          <w:tcPr>
            <w:tcW w:w="1162" w:type="dxa"/>
            <w:noWrap w:val="0"/>
            <w:vAlign w:val="center"/>
          </w:tcPr>
          <w:p w14:paraId="38738F1E">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0"/>
                <w:sz w:val="24"/>
                <w:szCs w:val="24"/>
              </w:rPr>
              <w:t>7～18</w:t>
            </w:r>
          </w:p>
        </w:tc>
        <w:tc>
          <w:tcPr>
            <w:tcW w:w="1162" w:type="dxa"/>
            <w:noWrap w:val="0"/>
            <w:vAlign w:val="center"/>
          </w:tcPr>
          <w:p w14:paraId="354464D1">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0"/>
                <w:sz w:val="24"/>
                <w:szCs w:val="24"/>
              </w:rPr>
              <w:t>5～14</w:t>
            </w:r>
          </w:p>
        </w:tc>
        <w:tc>
          <w:tcPr>
            <w:tcW w:w="1162" w:type="dxa"/>
            <w:noWrap w:val="0"/>
            <w:vAlign w:val="center"/>
          </w:tcPr>
          <w:p w14:paraId="0536F74F">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0"/>
                <w:sz w:val="24"/>
                <w:szCs w:val="24"/>
              </w:rPr>
              <w:t>4～8</w:t>
            </w:r>
          </w:p>
        </w:tc>
        <w:tc>
          <w:tcPr>
            <w:tcW w:w="1500" w:type="dxa"/>
            <w:noWrap w:val="0"/>
            <w:vAlign w:val="center"/>
          </w:tcPr>
          <w:p w14:paraId="74F008F1">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4.0～6.0</w:t>
            </w:r>
          </w:p>
        </w:tc>
      </w:tr>
    </w:tbl>
    <w:p w14:paraId="3865974B">
      <w:pPr>
        <w:keepNext w:val="0"/>
        <w:keepLines w:val="0"/>
        <w:pageBreakBefore w:val="0"/>
        <w:widowControl w:val="0"/>
        <w:numPr>
          <w:ilvl w:val="0"/>
          <w:numId w:val="8"/>
        </w:numPr>
        <w:kinsoku/>
        <w:wordWrap/>
        <w:overflowPunct/>
        <w:topLinePunct w:val="0"/>
        <w:autoSpaceDE w:val="0"/>
        <w:autoSpaceDN w:val="0"/>
        <w:bidi w:val="0"/>
        <w:adjustRightInd w:val="0"/>
        <w:snapToGrid/>
        <w:spacing w:line="360" w:lineRule="auto"/>
        <w:jc w:val="left"/>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沥青混合料车辙试验、浸水马歇尔试验和冻融劈裂试验，并符合下表的技术要求，</w:t>
      </w:r>
    </w:p>
    <w:p w14:paraId="628D3863">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b/>
          <w:kern w:val="0"/>
          <w:sz w:val="24"/>
          <w:szCs w:val="24"/>
          <w:lang w:val="zh-CN"/>
        </w:rPr>
        <w:t>沥青混合料车辙试验动稳定度技术要求</w:t>
      </w:r>
    </w:p>
    <w:tbl>
      <w:tblPr>
        <w:tblStyle w:val="7"/>
        <w:tblW w:w="87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3"/>
        <w:gridCol w:w="3455"/>
      </w:tblGrid>
      <w:tr w14:paraId="3F43D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253" w:type="dxa"/>
            <w:noWrap w:val="0"/>
            <w:vAlign w:val="center"/>
          </w:tcPr>
          <w:p w14:paraId="28F321ED">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混合料类型</w:t>
            </w:r>
          </w:p>
        </w:tc>
        <w:tc>
          <w:tcPr>
            <w:tcW w:w="3455" w:type="dxa"/>
            <w:noWrap w:val="0"/>
            <w:vAlign w:val="center"/>
          </w:tcPr>
          <w:p w14:paraId="4EE9CF7F">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动稳定度（次/mm）</w:t>
            </w:r>
          </w:p>
        </w:tc>
      </w:tr>
      <w:tr w14:paraId="2B123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253" w:type="dxa"/>
            <w:noWrap w:val="0"/>
            <w:vAlign w:val="center"/>
          </w:tcPr>
          <w:p w14:paraId="5905EC8E">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上面层</w:t>
            </w:r>
          </w:p>
        </w:tc>
        <w:tc>
          <w:tcPr>
            <w:tcW w:w="3455" w:type="dxa"/>
            <w:noWrap w:val="0"/>
            <w:vAlign w:val="center"/>
          </w:tcPr>
          <w:p w14:paraId="7AFFC7AD">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pacing w:val="20"/>
                <w:sz w:val="24"/>
                <w:szCs w:val="24"/>
              </w:rPr>
            </w:pPr>
            <w:r>
              <w:rPr>
                <w:rFonts w:hint="default" w:ascii="Times New Roman" w:hAnsi="Times New Roman" w:eastAsia="宋体" w:cs="Times New Roman"/>
                <w:spacing w:val="20"/>
                <w:sz w:val="24"/>
                <w:szCs w:val="24"/>
              </w:rPr>
              <w:t>2800</w:t>
            </w:r>
          </w:p>
        </w:tc>
      </w:tr>
      <w:tr w14:paraId="6F94F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253" w:type="dxa"/>
            <w:noWrap w:val="0"/>
            <w:vAlign w:val="center"/>
          </w:tcPr>
          <w:p w14:paraId="6970D454">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下面层</w:t>
            </w:r>
          </w:p>
        </w:tc>
        <w:tc>
          <w:tcPr>
            <w:tcW w:w="3455" w:type="dxa"/>
            <w:noWrap w:val="0"/>
            <w:vAlign w:val="center"/>
          </w:tcPr>
          <w:p w14:paraId="7D1413A6">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pacing w:val="20"/>
                <w:sz w:val="24"/>
                <w:szCs w:val="24"/>
              </w:rPr>
            </w:pPr>
            <w:r>
              <w:rPr>
                <w:rFonts w:hint="default" w:ascii="Times New Roman" w:hAnsi="Times New Roman" w:eastAsia="宋体" w:cs="Times New Roman"/>
                <w:spacing w:val="20"/>
                <w:sz w:val="24"/>
                <w:szCs w:val="24"/>
              </w:rPr>
              <w:t>1000</w:t>
            </w:r>
          </w:p>
        </w:tc>
      </w:tr>
    </w:tbl>
    <w:p w14:paraId="56B64EE6">
      <w:pPr>
        <w:keepNext w:val="0"/>
        <w:keepLines w:val="0"/>
        <w:pageBreakBefore w:val="0"/>
        <w:widowControl w:val="0"/>
        <w:tabs>
          <w:tab w:val="left" w:pos="555"/>
        </w:tabs>
        <w:kinsoku/>
        <w:wordWrap/>
        <w:overflowPunct/>
        <w:topLinePunct w:val="0"/>
        <w:autoSpaceDE/>
        <w:autoSpaceDN/>
        <w:bidi w:val="0"/>
        <w:adjustRightInd/>
        <w:snapToGrid/>
        <w:spacing w:line="480" w:lineRule="auto"/>
        <w:ind w:firstLine="482" w:firstLineChars="200"/>
        <w:jc w:val="center"/>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kern w:val="0"/>
          <w:sz w:val="24"/>
          <w:szCs w:val="24"/>
          <w:lang w:val="zh-CN"/>
        </w:rPr>
        <w:t>沥青混合料水稳定性检验技术要求</w:t>
      </w:r>
    </w:p>
    <w:tbl>
      <w:tblPr>
        <w:tblStyle w:val="7"/>
        <w:tblpPr w:leftFromText="180" w:rightFromText="180" w:vertAnchor="text" w:horzAnchor="page" w:tblpX="1676" w:tblpY="84"/>
        <w:tblOverlap w:val="never"/>
        <w:tblW w:w="87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5"/>
        <w:gridCol w:w="3135"/>
        <w:gridCol w:w="3225"/>
      </w:tblGrid>
      <w:tr w14:paraId="1FAD3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2415" w:type="dxa"/>
            <w:noWrap w:val="0"/>
            <w:vAlign w:val="center"/>
          </w:tcPr>
          <w:p w14:paraId="5A698B39">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混合料类型</w:t>
            </w:r>
          </w:p>
        </w:tc>
        <w:tc>
          <w:tcPr>
            <w:tcW w:w="3135" w:type="dxa"/>
            <w:noWrap w:val="0"/>
            <w:vAlign w:val="center"/>
          </w:tcPr>
          <w:p w14:paraId="31E4E4C6">
            <w:pPr>
              <w:keepNext w:val="0"/>
              <w:keepLines w:val="0"/>
              <w:pageBreakBefore w:val="0"/>
              <w:widowControl w:val="0"/>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冻融劈裂试验残留强度比</w:t>
            </w:r>
          </w:p>
          <w:p w14:paraId="3476DDED">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w:t>
            </w:r>
            <w:r>
              <w:rPr>
                <w:rFonts w:hint="default" w:ascii="Times New Roman" w:hAnsi="Times New Roman" w:eastAsia="宋体" w:cs="Times New Roman"/>
                <w:sz w:val="24"/>
                <w:szCs w:val="24"/>
              </w:rPr>
              <w:t>不小于</w:t>
            </w:r>
          </w:p>
        </w:tc>
        <w:tc>
          <w:tcPr>
            <w:tcW w:w="3225" w:type="dxa"/>
            <w:noWrap w:val="0"/>
            <w:vAlign w:val="center"/>
          </w:tcPr>
          <w:p w14:paraId="61AE0011">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浸水</w:t>
            </w:r>
            <w:r>
              <w:rPr>
                <w:rFonts w:hint="default" w:ascii="Times New Roman" w:hAnsi="Times New Roman" w:eastAsia="宋体" w:cs="Times New Roman"/>
                <w:sz w:val="24"/>
                <w:szCs w:val="24"/>
              </w:rPr>
              <w:t>马歇尔试验残留稳定度</w:t>
            </w:r>
            <w:r>
              <w:rPr>
                <w:rFonts w:hint="default" w:ascii="Times New Roman" w:hAnsi="Times New Roman" w:eastAsia="宋体" w:cs="Times New Roman"/>
                <w:spacing w:val="20"/>
                <w:sz w:val="24"/>
                <w:szCs w:val="24"/>
              </w:rPr>
              <w:t>（%）</w:t>
            </w:r>
            <w:r>
              <w:rPr>
                <w:rFonts w:hint="default" w:ascii="Times New Roman" w:hAnsi="Times New Roman" w:eastAsia="宋体" w:cs="Times New Roman"/>
                <w:sz w:val="24"/>
                <w:szCs w:val="24"/>
              </w:rPr>
              <w:t>不小于</w:t>
            </w:r>
          </w:p>
        </w:tc>
      </w:tr>
      <w:tr w14:paraId="60B80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5" w:type="dxa"/>
            <w:noWrap w:val="0"/>
            <w:vAlign w:val="center"/>
          </w:tcPr>
          <w:p w14:paraId="36A93408">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普通沥青混合料</w:t>
            </w:r>
          </w:p>
        </w:tc>
        <w:tc>
          <w:tcPr>
            <w:tcW w:w="3135" w:type="dxa"/>
            <w:noWrap w:val="0"/>
            <w:vAlign w:val="center"/>
          </w:tcPr>
          <w:p w14:paraId="765D947E">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75</w:t>
            </w:r>
          </w:p>
        </w:tc>
        <w:tc>
          <w:tcPr>
            <w:tcW w:w="3225" w:type="dxa"/>
            <w:noWrap w:val="0"/>
            <w:vAlign w:val="center"/>
          </w:tcPr>
          <w:p w14:paraId="745350E4">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80</w:t>
            </w:r>
          </w:p>
        </w:tc>
      </w:tr>
    </w:tbl>
    <w:p w14:paraId="17802040">
      <w:pPr>
        <w:keepNext w:val="0"/>
        <w:keepLines w:val="0"/>
        <w:pageBreakBefore w:val="0"/>
        <w:widowControl w:val="0"/>
        <w:tabs>
          <w:tab w:val="left" w:pos="555"/>
        </w:tabs>
        <w:kinsoku/>
        <w:wordWrap/>
        <w:overflowPunct/>
        <w:topLinePunct w:val="0"/>
        <w:autoSpaceDE/>
        <w:autoSpaceDN/>
        <w:bidi w:val="0"/>
        <w:adjustRightInd/>
        <w:snapToGrid/>
        <w:spacing w:line="480" w:lineRule="auto"/>
        <w:textAlignment w:val="baseline"/>
        <w:rPr>
          <w:rFonts w:hint="eastAsia" w:ascii="宋体" w:hAnsi="宋体" w:eastAsia="宋体" w:cs="宋体"/>
          <w:color w:val="000000" w:themeColor="text1"/>
          <w:sz w:val="24"/>
          <w:szCs w:val="24"/>
          <w:highlight w:val="none"/>
          <w:lang w:val="en-US" w:eastAsia="zh-CN"/>
          <w14:textFill>
            <w14:solidFill>
              <w14:schemeClr w14:val="tx1"/>
            </w14:solidFill>
          </w14:textFill>
        </w:rPr>
      </w:pPr>
    </w:p>
    <w:tbl>
      <w:tblPr>
        <w:tblStyle w:val="7"/>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4"/>
        <w:gridCol w:w="2410"/>
        <w:gridCol w:w="2008"/>
        <w:gridCol w:w="2008"/>
      </w:tblGrid>
      <w:tr w14:paraId="51402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4" w:type="dxa"/>
            <w:noWrap w:val="0"/>
            <w:vAlign w:val="top"/>
          </w:tcPr>
          <w:p w14:paraId="589A5A98">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质量变化</w:t>
            </w:r>
          </w:p>
        </w:tc>
        <w:tc>
          <w:tcPr>
            <w:tcW w:w="2410" w:type="dxa"/>
            <w:noWrap w:val="0"/>
            <w:vAlign w:val="top"/>
          </w:tcPr>
          <w:p w14:paraId="47F1F55F">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008" w:type="dxa"/>
            <w:noWrap w:val="0"/>
            <w:vAlign w:val="top"/>
          </w:tcPr>
          <w:p w14:paraId="3BC3198E">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≤±1.2</w:t>
            </w:r>
          </w:p>
        </w:tc>
        <w:tc>
          <w:tcPr>
            <w:tcW w:w="2008" w:type="dxa"/>
            <w:noWrap w:val="0"/>
            <w:vAlign w:val="center"/>
          </w:tcPr>
          <w:p w14:paraId="4C6241EB">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T0610</w:t>
            </w:r>
          </w:p>
        </w:tc>
      </w:tr>
      <w:tr w14:paraId="5737B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4" w:type="dxa"/>
            <w:noWrap w:val="0"/>
            <w:vAlign w:val="top"/>
          </w:tcPr>
          <w:p w14:paraId="3BB095D6">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残留针入度比</w:t>
            </w:r>
          </w:p>
        </w:tc>
        <w:tc>
          <w:tcPr>
            <w:tcW w:w="2410" w:type="dxa"/>
            <w:noWrap w:val="0"/>
            <w:vAlign w:val="top"/>
          </w:tcPr>
          <w:p w14:paraId="3F14847C">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008" w:type="dxa"/>
            <w:noWrap w:val="0"/>
            <w:vAlign w:val="top"/>
          </w:tcPr>
          <w:p w14:paraId="13941BD8">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≥61</w:t>
            </w:r>
          </w:p>
        </w:tc>
        <w:tc>
          <w:tcPr>
            <w:tcW w:w="2008" w:type="dxa"/>
            <w:noWrap w:val="0"/>
            <w:vAlign w:val="center"/>
          </w:tcPr>
          <w:p w14:paraId="76757945">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T0604</w:t>
            </w:r>
          </w:p>
        </w:tc>
      </w:tr>
      <w:tr w14:paraId="462FF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4" w:type="dxa"/>
            <w:noWrap w:val="0"/>
            <w:vAlign w:val="top"/>
          </w:tcPr>
          <w:p w14:paraId="7BBC4D87">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残留延度（15℃）</w:t>
            </w:r>
          </w:p>
        </w:tc>
        <w:tc>
          <w:tcPr>
            <w:tcW w:w="2410" w:type="dxa"/>
            <w:noWrap w:val="0"/>
            <w:vAlign w:val="top"/>
          </w:tcPr>
          <w:p w14:paraId="78270DF6">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cm</w:t>
            </w:r>
          </w:p>
        </w:tc>
        <w:tc>
          <w:tcPr>
            <w:tcW w:w="2008" w:type="dxa"/>
            <w:noWrap w:val="0"/>
            <w:vAlign w:val="top"/>
          </w:tcPr>
          <w:p w14:paraId="00766A82">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≥15</w:t>
            </w:r>
          </w:p>
        </w:tc>
        <w:tc>
          <w:tcPr>
            <w:tcW w:w="2008" w:type="dxa"/>
            <w:vMerge w:val="restart"/>
            <w:noWrap w:val="0"/>
            <w:vAlign w:val="center"/>
          </w:tcPr>
          <w:p w14:paraId="45DB4B35">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T0605</w:t>
            </w:r>
          </w:p>
        </w:tc>
      </w:tr>
      <w:tr w14:paraId="6250B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4" w:type="dxa"/>
            <w:noWrap w:val="0"/>
            <w:vAlign w:val="top"/>
          </w:tcPr>
          <w:p w14:paraId="4529859E">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残留延度（10℃）</w:t>
            </w:r>
          </w:p>
        </w:tc>
        <w:tc>
          <w:tcPr>
            <w:tcW w:w="2410" w:type="dxa"/>
            <w:noWrap w:val="0"/>
            <w:vAlign w:val="top"/>
          </w:tcPr>
          <w:p w14:paraId="5387670A">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cm</w:t>
            </w:r>
          </w:p>
        </w:tc>
        <w:tc>
          <w:tcPr>
            <w:tcW w:w="2008" w:type="dxa"/>
            <w:noWrap w:val="0"/>
            <w:vAlign w:val="top"/>
          </w:tcPr>
          <w:p w14:paraId="2F64351F">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≥4</w:t>
            </w:r>
          </w:p>
        </w:tc>
        <w:tc>
          <w:tcPr>
            <w:tcW w:w="2008" w:type="dxa"/>
            <w:vMerge w:val="continue"/>
            <w:noWrap w:val="0"/>
            <w:vAlign w:val="center"/>
          </w:tcPr>
          <w:p w14:paraId="7355FD4B">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r>
      <w:tr w14:paraId="306D4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4" w:type="dxa"/>
            <w:noWrap w:val="0"/>
            <w:vAlign w:val="top"/>
          </w:tcPr>
          <w:p w14:paraId="297AA445">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颜色</w:t>
            </w:r>
          </w:p>
        </w:tc>
        <w:tc>
          <w:tcPr>
            <w:tcW w:w="2410" w:type="dxa"/>
            <w:noWrap w:val="0"/>
            <w:vAlign w:val="top"/>
          </w:tcPr>
          <w:p w14:paraId="1855F8B7">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008" w:type="dxa"/>
            <w:noWrap w:val="0"/>
            <w:vAlign w:val="top"/>
          </w:tcPr>
          <w:p w14:paraId="7359F9ED">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无明显变化</w:t>
            </w:r>
          </w:p>
        </w:tc>
        <w:tc>
          <w:tcPr>
            <w:tcW w:w="2008" w:type="dxa"/>
            <w:noWrap w:val="0"/>
            <w:vAlign w:val="center"/>
          </w:tcPr>
          <w:p w14:paraId="173767D2">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GB/T1722</w:t>
            </w:r>
          </w:p>
        </w:tc>
      </w:tr>
    </w:tbl>
    <w:p w14:paraId="308F6744">
      <w:pPr>
        <w:pStyle w:val="3"/>
        <w:rPr>
          <w:rFonts w:hint="eastAsia"/>
          <w:lang w:val="en-US" w:eastAsia="zh-CN"/>
        </w:rPr>
      </w:pPr>
    </w:p>
    <w:tbl>
      <w:tblPr>
        <w:tblStyle w:val="7"/>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8"/>
        <w:gridCol w:w="1758"/>
        <w:gridCol w:w="2149"/>
        <w:gridCol w:w="2503"/>
      </w:tblGrid>
      <w:tr w14:paraId="1AA42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8" w:type="dxa"/>
            <w:noWrap w:val="0"/>
            <w:vAlign w:val="center"/>
          </w:tcPr>
          <w:p w14:paraId="5853C8B6">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水溶物含量</w:t>
            </w:r>
          </w:p>
        </w:tc>
        <w:tc>
          <w:tcPr>
            <w:tcW w:w="1758" w:type="dxa"/>
            <w:noWrap w:val="0"/>
            <w:vAlign w:val="center"/>
          </w:tcPr>
          <w:p w14:paraId="25AA7B6B">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149" w:type="dxa"/>
            <w:noWrap w:val="0"/>
            <w:vAlign w:val="center"/>
          </w:tcPr>
          <w:p w14:paraId="55545DA4">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≤1.0</w:t>
            </w:r>
          </w:p>
        </w:tc>
        <w:tc>
          <w:tcPr>
            <w:tcW w:w="2503" w:type="dxa"/>
            <w:noWrap w:val="0"/>
            <w:vAlign w:val="center"/>
          </w:tcPr>
          <w:p w14:paraId="2A0835F3">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GB/T 5211.1</w:t>
            </w:r>
          </w:p>
        </w:tc>
      </w:tr>
      <w:tr w14:paraId="4B1B7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8" w:type="dxa"/>
            <w:noWrap w:val="0"/>
            <w:vAlign w:val="center"/>
          </w:tcPr>
          <w:p w14:paraId="1EF34527">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着色率</w:t>
            </w:r>
          </w:p>
        </w:tc>
        <w:tc>
          <w:tcPr>
            <w:tcW w:w="1758" w:type="dxa"/>
            <w:noWrap w:val="0"/>
            <w:vAlign w:val="center"/>
          </w:tcPr>
          <w:p w14:paraId="4EFB5A26">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c>
          <w:tcPr>
            <w:tcW w:w="2149" w:type="dxa"/>
            <w:noWrap w:val="0"/>
            <w:vAlign w:val="center"/>
          </w:tcPr>
          <w:p w14:paraId="528D2847">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98～102</w:t>
            </w:r>
          </w:p>
        </w:tc>
        <w:tc>
          <w:tcPr>
            <w:tcW w:w="2503" w:type="dxa"/>
            <w:noWrap w:val="0"/>
            <w:vAlign w:val="center"/>
          </w:tcPr>
          <w:p w14:paraId="5DCD237A">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GB/T 5211.19</w:t>
            </w:r>
          </w:p>
        </w:tc>
      </w:tr>
      <w:tr w14:paraId="78F2B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8" w:type="dxa"/>
            <w:noWrap w:val="0"/>
            <w:vAlign w:val="center"/>
          </w:tcPr>
          <w:p w14:paraId="737FFD23">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吸油量</w:t>
            </w:r>
          </w:p>
        </w:tc>
        <w:tc>
          <w:tcPr>
            <w:tcW w:w="1758" w:type="dxa"/>
            <w:noWrap w:val="0"/>
            <w:vAlign w:val="center"/>
          </w:tcPr>
          <w:p w14:paraId="0AC9568E">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149" w:type="dxa"/>
            <w:noWrap w:val="0"/>
            <w:vAlign w:val="center"/>
          </w:tcPr>
          <w:p w14:paraId="3D1D4083">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≤22</w:t>
            </w:r>
          </w:p>
        </w:tc>
        <w:tc>
          <w:tcPr>
            <w:tcW w:w="2503" w:type="dxa"/>
            <w:noWrap w:val="0"/>
            <w:vAlign w:val="center"/>
          </w:tcPr>
          <w:p w14:paraId="608F5373">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GB/T 5211.15</w:t>
            </w:r>
          </w:p>
        </w:tc>
      </w:tr>
      <w:tr w14:paraId="2092A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8" w:type="dxa"/>
            <w:noWrap w:val="0"/>
            <w:vAlign w:val="center"/>
          </w:tcPr>
          <w:p w14:paraId="751660DC">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筛余量</w:t>
            </w:r>
          </w:p>
          <w:p w14:paraId="5E16D02A">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（0.075mm筛孔）</w:t>
            </w:r>
          </w:p>
        </w:tc>
        <w:tc>
          <w:tcPr>
            <w:tcW w:w="1758" w:type="dxa"/>
            <w:noWrap w:val="0"/>
            <w:vAlign w:val="center"/>
          </w:tcPr>
          <w:p w14:paraId="7D14D8C4">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149" w:type="dxa"/>
            <w:noWrap w:val="0"/>
            <w:vAlign w:val="center"/>
          </w:tcPr>
          <w:p w14:paraId="452BBDF6">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≤0.1</w:t>
            </w:r>
          </w:p>
        </w:tc>
        <w:tc>
          <w:tcPr>
            <w:tcW w:w="2503" w:type="dxa"/>
            <w:noWrap w:val="0"/>
            <w:vAlign w:val="center"/>
          </w:tcPr>
          <w:p w14:paraId="2CD2DA87">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r>
      <w:tr w14:paraId="23486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8" w:type="dxa"/>
            <w:noWrap w:val="0"/>
            <w:vAlign w:val="center"/>
          </w:tcPr>
          <w:p w14:paraId="1B4DF351">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耐光性</w:t>
            </w:r>
          </w:p>
        </w:tc>
        <w:tc>
          <w:tcPr>
            <w:tcW w:w="1758" w:type="dxa"/>
            <w:noWrap w:val="0"/>
            <w:vAlign w:val="center"/>
          </w:tcPr>
          <w:p w14:paraId="58BD4123">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级</w:t>
            </w:r>
          </w:p>
        </w:tc>
        <w:tc>
          <w:tcPr>
            <w:tcW w:w="2149" w:type="dxa"/>
            <w:noWrap w:val="0"/>
            <w:vAlign w:val="center"/>
          </w:tcPr>
          <w:p w14:paraId="612EEA5D">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≥7</w:t>
            </w:r>
          </w:p>
        </w:tc>
        <w:tc>
          <w:tcPr>
            <w:tcW w:w="2503" w:type="dxa"/>
            <w:noWrap w:val="0"/>
            <w:vAlign w:val="center"/>
          </w:tcPr>
          <w:p w14:paraId="0DE8CC9D">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GB/T 1710</w:t>
            </w:r>
          </w:p>
        </w:tc>
      </w:tr>
    </w:tbl>
    <w:p w14:paraId="6AD6C62D">
      <w:pPr>
        <w:rPr>
          <w:rFonts w:hint="eastAsia"/>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方正大标宋简体">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69BF9C">
    <w:pPr>
      <w:pStyle w:val="5"/>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2B2F6D">
                          <w:pPr>
                            <w:pStyle w:val="5"/>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15</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02B2F6D">
                    <w:pPr>
                      <w:pStyle w:val="5"/>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15</w:t>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4E929">
    <w:pPr>
      <w:pStyle w:val="6"/>
      <w:pBdr>
        <w:bottom w:val="double" w:color="auto" w:sz="8" w:space="1"/>
      </w:pBdr>
      <w:ind w:left="6160" w:hanging="3960" w:hangingChars="2200"/>
      <w:jc w:val="both"/>
      <w:rPr>
        <w:rFonts w:hint="eastAsia" w:ascii="仿宋" w:hAnsi="仿宋" w:eastAsia="仿宋" w:cs="仿宋"/>
        <w:bCs/>
        <w:sz w:val="20"/>
        <w:szCs w:val="20"/>
        <w:lang w:val="en-US" w:eastAsia="zh-CN"/>
      </w:rPr>
    </w:pPr>
    <w:r>
      <w:rPr>
        <w:rFonts w:hint="eastAsia" w:ascii="黑体" w:hAnsi="黑体" w:eastAsia="黑体" w:cs="黑体"/>
      </w:rPr>
      <w:drawing>
        <wp:anchor distT="0" distB="0" distL="114300" distR="114300" simplePos="0" relativeHeight="251659264" behindDoc="0" locked="0" layoutInCell="1" allowOverlap="1">
          <wp:simplePos x="0" y="0"/>
          <wp:positionH relativeFrom="column">
            <wp:posOffset>-471805</wp:posOffset>
          </wp:positionH>
          <wp:positionV relativeFrom="paragraph">
            <wp:posOffset>-201930</wp:posOffset>
          </wp:positionV>
          <wp:extent cx="485775" cy="555625"/>
          <wp:effectExtent l="0" t="0" r="9525" b="15875"/>
          <wp:wrapNone/>
          <wp:docPr id="269" name="图片 269"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69" descr="E:\标书\新集建工LOGE中.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156845" y="36322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潘集经济开发区（北区）基础设施提升项目        经四路新建慢行道沥青面层及标线施工工程</w:t>
    </w:r>
  </w:p>
  <w:p w14:paraId="01FC1228">
    <w:pPr>
      <w:pStyle w:val="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CA1D73">
    <w:pPr>
      <w:pStyle w:val="6"/>
      <w:pBdr>
        <w:bottom w:val="double" w:color="auto" w:sz="8" w:space="1"/>
      </w:pBdr>
      <w:ind w:left="6160" w:hanging="3960" w:hangingChars="2200"/>
      <w:jc w:val="both"/>
      <w:rPr>
        <w:rFonts w:hint="eastAsia" w:ascii="仿宋" w:hAnsi="仿宋" w:eastAsia="仿宋" w:cs="仿宋"/>
        <w:bCs/>
        <w:sz w:val="20"/>
        <w:szCs w:val="20"/>
        <w:lang w:val="en-US" w:eastAsia="zh-CN"/>
      </w:rPr>
    </w:pPr>
    <w:r>
      <w:rPr>
        <w:rFonts w:hint="eastAsia" w:ascii="黑体" w:hAnsi="黑体" w:eastAsia="黑体" w:cs="黑体"/>
      </w:rPr>
      <w:drawing>
        <wp:anchor distT="0" distB="0" distL="114300" distR="114300" simplePos="0" relativeHeight="251660288" behindDoc="0" locked="0" layoutInCell="1" allowOverlap="1">
          <wp:simplePos x="0" y="0"/>
          <wp:positionH relativeFrom="column">
            <wp:posOffset>-471805</wp:posOffset>
          </wp:positionH>
          <wp:positionV relativeFrom="paragraph">
            <wp:posOffset>-201930</wp:posOffset>
          </wp:positionV>
          <wp:extent cx="485775" cy="555625"/>
          <wp:effectExtent l="0" t="0" r="9525" b="15875"/>
          <wp:wrapNone/>
          <wp:docPr id="1" name="图片 1"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标书\新集建工LOGE中.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156845" y="36322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潘集经济开发区（北区）基础设施提升项目                                                               经四路新建慢行道沥青面层及标线施工工程</w:t>
    </w:r>
  </w:p>
  <w:p w14:paraId="0938B3E8">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A63AA">
    <w:pPr>
      <w:pStyle w:val="6"/>
      <w:pBdr>
        <w:bottom w:val="double" w:color="auto" w:sz="8" w:space="1"/>
      </w:pBdr>
      <w:ind w:left="6160" w:hanging="3960" w:hangingChars="2200"/>
      <w:jc w:val="both"/>
      <w:rPr>
        <w:rFonts w:hint="eastAsia" w:ascii="仿宋" w:hAnsi="仿宋" w:eastAsia="仿宋" w:cs="仿宋"/>
        <w:bCs/>
        <w:sz w:val="20"/>
        <w:szCs w:val="20"/>
        <w:lang w:val="en-US" w:eastAsia="zh-CN"/>
      </w:rPr>
    </w:pPr>
    <w:r>
      <w:rPr>
        <w:rFonts w:hint="eastAsia" w:ascii="黑体" w:hAnsi="黑体" w:eastAsia="黑体" w:cs="黑体"/>
      </w:rPr>
      <w:drawing>
        <wp:anchor distT="0" distB="0" distL="114300" distR="114300" simplePos="0" relativeHeight="251661312" behindDoc="0" locked="0" layoutInCell="1" allowOverlap="1">
          <wp:simplePos x="0" y="0"/>
          <wp:positionH relativeFrom="column">
            <wp:posOffset>-471805</wp:posOffset>
          </wp:positionH>
          <wp:positionV relativeFrom="paragraph">
            <wp:posOffset>-201930</wp:posOffset>
          </wp:positionV>
          <wp:extent cx="485775" cy="555625"/>
          <wp:effectExtent l="0" t="0" r="9525" b="15875"/>
          <wp:wrapNone/>
          <wp:docPr id="2" name="图片 2"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标书\新集建工LOGE中.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156845" y="36322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潘集经济开发区（北区）基础设施提升项目        经四路新建慢行道沥青面层及标线施工工程</w:t>
    </w:r>
  </w:p>
  <w:p w14:paraId="700623CA">
    <w:pPr>
      <w:pStyle w:val="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AC0DE">
    <w:pPr>
      <w:pStyle w:val="6"/>
      <w:pBdr>
        <w:bottom w:val="double" w:color="auto" w:sz="8" w:space="1"/>
      </w:pBdr>
      <w:ind w:left="6160" w:hanging="3960" w:hangingChars="2200"/>
      <w:jc w:val="both"/>
      <w:rPr>
        <w:rFonts w:hint="eastAsia" w:ascii="仿宋" w:hAnsi="仿宋" w:eastAsia="仿宋" w:cs="仿宋"/>
        <w:bCs/>
        <w:sz w:val="20"/>
        <w:szCs w:val="20"/>
        <w:lang w:val="en-US" w:eastAsia="zh-CN"/>
      </w:rPr>
    </w:pPr>
    <w:r>
      <w:rPr>
        <w:rFonts w:hint="eastAsia" w:ascii="黑体" w:hAnsi="黑体" w:eastAsia="黑体" w:cs="黑体"/>
      </w:rPr>
      <w:drawing>
        <wp:anchor distT="0" distB="0" distL="114300" distR="114300" simplePos="0" relativeHeight="251663360" behindDoc="0" locked="0" layoutInCell="1" allowOverlap="1">
          <wp:simplePos x="0" y="0"/>
          <wp:positionH relativeFrom="column">
            <wp:posOffset>-471805</wp:posOffset>
          </wp:positionH>
          <wp:positionV relativeFrom="paragraph">
            <wp:posOffset>-201930</wp:posOffset>
          </wp:positionV>
          <wp:extent cx="485775" cy="555625"/>
          <wp:effectExtent l="0" t="0" r="9525" b="15875"/>
          <wp:wrapNone/>
          <wp:docPr id="6" name="图片 6"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标书\新集建工LOGE中.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156845" y="36322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潘集经济开发区（北区）基础设施提升项目                                                                经四路新建慢行道沥青面层及标线施工工程</w:t>
    </w:r>
  </w:p>
  <w:p w14:paraId="0810F288">
    <w:pPr>
      <w:pStyle w:val="6"/>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16A8B">
    <w:pPr>
      <w:pStyle w:val="6"/>
      <w:pBdr>
        <w:bottom w:val="double" w:color="auto" w:sz="8" w:space="1"/>
      </w:pBdr>
      <w:ind w:left="6160" w:hanging="3960" w:hangingChars="2200"/>
      <w:jc w:val="both"/>
      <w:rPr>
        <w:rFonts w:hint="eastAsia" w:ascii="仿宋" w:hAnsi="仿宋" w:eastAsia="仿宋" w:cs="仿宋"/>
        <w:bCs/>
        <w:sz w:val="20"/>
        <w:szCs w:val="20"/>
        <w:lang w:val="en-US" w:eastAsia="zh-CN"/>
      </w:rPr>
    </w:pPr>
    <w:r>
      <w:rPr>
        <w:rFonts w:hint="eastAsia" w:ascii="黑体" w:hAnsi="黑体" w:eastAsia="黑体" w:cs="黑体"/>
      </w:rPr>
      <w:drawing>
        <wp:anchor distT="0" distB="0" distL="114300" distR="114300" simplePos="0" relativeHeight="251662336" behindDoc="0" locked="0" layoutInCell="1" allowOverlap="1">
          <wp:simplePos x="0" y="0"/>
          <wp:positionH relativeFrom="column">
            <wp:posOffset>-471805</wp:posOffset>
          </wp:positionH>
          <wp:positionV relativeFrom="paragraph">
            <wp:posOffset>-201930</wp:posOffset>
          </wp:positionV>
          <wp:extent cx="485775" cy="555625"/>
          <wp:effectExtent l="0" t="0" r="9525" b="15875"/>
          <wp:wrapNone/>
          <wp:docPr id="5" name="图片 5"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标书\新集建工LOGE中.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156845" y="36322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潘集经济开发区（北区）基础设施提升项目        经四路新建慢行道沥青面层及标线施工工程</w:t>
    </w:r>
  </w:p>
  <w:p w14:paraId="15071581">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54D688"/>
    <w:multiLevelType w:val="singleLevel"/>
    <w:tmpl w:val="8154D688"/>
    <w:lvl w:ilvl="0" w:tentative="0">
      <w:start w:val="1"/>
      <w:numFmt w:val="decimal"/>
      <w:suff w:val="nothing"/>
      <w:lvlText w:val="%1、"/>
      <w:lvlJc w:val="left"/>
    </w:lvl>
  </w:abstractNum>
  <w:abstractNum w:abstractNumId="1">
    <w:nsid w:val="8B8348D2"/>
    <w:multiLevelType w:val="singleLevel"/>
    <w:tmpl w:val="8B8348D2"/>
    <w:lvl w:ilvl="0" w:tentative="0">
      <w:start w:val="1"/>
      <w:numFmt w:val="decimal"/>
      <w:suff w:val="nothing"/>
      <w:lvlText w:val="%1、"/>
      <w:lvlJc w:val="left"/>
    </w:lvl>
  </w:abstractNum>
  <w:abstractNum w:abstractNumId="2">
    <w:nsid w:val="D01FF47A"/>
    <w:multiLevelType w:val="singleLevel"/>
    <w:tmpl w:val="D01FF47A"/>
    <w:lvl w:ilvl="0" w:tentative="0">
      <w:start w:val="2"/>
      <w:numFmt w:val="decimal"/>
      <w:suff w:val="nothing"/>
      <w:lvlText w:val="（%1）"/>
      <w:lvlJc w:val="left"/>
    </w:lvl>
  </w:abstractNum>
  <w:abstractNum w:abstractNumId="3">
    <w:nsid w:val="E888D667"/>
    <w:multiLevelType w:val="singleLevel"/>
    <w:tmpl w:val="E888D667"/>
    <w:lvl w:ilvl="0" w:tentative="0">
      <w:start w:val="1"/>
      <w:numFmt w:val="decimal"/>
      <w:suff w:val="nothing"/>
      <w:lvlText w:val="%1、"/>
      <w:lvlJc w:val="left"/>
    </w:lvl>
  </w:abstractNum>
  <w:abstractNum w:abstractNumId="4">
    <w:nsid w:val="15A201DC"/>
    <w:multiLevelType w:val="singleLevel"/>
    <w:tmpl w:val="15A201DC"/>
    <w:lvl w:ilvl="0" w:tentative="0">
      <w:start w:val="1"/>
      <w:numFmt w:val="decimal"/>
      <w:suff w:val="nothing"/>
      <w:lvlText w:val="%1、"/>
      <w:lvlJc w:val="left"/>
    </w:lvl>
  </w:abstractNum>
  <w:abstractNum w:abstractNumId="5">
    <w:nsid w:val="3C4AE521"/>
    <w:multiLevelType w:val="singleLevel"/>
    <w:tmpl w:val="3C4AE521"/>
    <w:lvl w:ilvl="0" w:tentative="0">
      <w:start w:val="1"/>
      <w:numFmt w:val="decimal"/>
      <w:suff w:val="nothing"/>
      <w:lvlText w:val="%1、"/>
      <w:lvlJc w:val="left"/>
    </w:lvl>
  </w:abstractNum>
  <w:abstractNum w:abstractNumId="6">
    <w:nsid w:val="4A03EB47"/>
    <w:multiLevelType w:val="singleLevel"/>
    <w:tmpl w:val="4A03EB47"/>
    <w:lvl w:ilvl="0" w:tentative="0">
      <w:start w:val="1"/>
      <w:numFmt w:val="decimal"/>
      <w:suff w:val="nothing"/>
      <w:lvlText w:val="%1、"/>
      <w:lvlJc w:val="left"/>
    </w:lvl>
  </w:abstractNum>
  <w:abstractNum w:abstractNumId="7">
    <w:nsid w:val="75BC2D2B"/>
    <w:multiLevelType w:val="singleLevel"/>
    <w:tmpl w:val="75BC2D2B"/>
    <w:lvl w:ilvl="0" w:tentative="0">
      <w:start w:val="1"/>
      <w:numFmt w:val="decimal"/>
      <w:suff w:val="nothing"/>
      <w:lvlText w:val="%1、"/>
      <w:lvlJc w:val="left"/>
    </w:lvl>
  </w:abstractNum>
  <w:num w:numId="1">
    <w:abstractNumId w:val="0"/>
  </w:num>
  <w:num w:numId="2">
    <w:abstractNumId w:val="1"/>
  </w:num>
  <w:num w:numId="3">
    <w:abstractNumId w:val="5"/>
  </w:num>
  <w:num w:numId="4">
    <w:abstractNumId w:val="6"/>
  </w:num>
  <w:num w:numId="5">
    <w:abstractNumId w:val="7"/>
  </w:num>
  <w:num w:numId="6">
    <w:abstractNumId w:val="3"/>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s>
  <w:rsids>
    <w:rsidRoot w:val="46C40745"/>
    <w:rsid w:val="061F13C5"/>
    <w:rsid w:val="12677143"/>
    <w:rsid w:val="1DD364EE"/>
    <w:rsid w:val="2C946615"/>
    <w:rsid w:val="3CB96138"/>
    <w:rsid w:val="46C40745"/>
    <w:rsid w:val="5012616C"/>
    <w:rsid w:val="541345EA"/>
    <w:rsid w:val="5A5D307D"/>
    <w:rsid w:val="5CD044AE"/>
    <w:rsid w:val="66E33127"/>
    <w:rsid w:val="68184053"/>
    <w:rsid w:val="7AFE23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样式3"/>
    <w:basedOn w:val="1"/>
    <w:autoRedefine/>
    <w:qFormat/>
    <w:uiPriority w:val="0"/>
    <w:pPr>
      <w:tabs>
        <w:tab w:val="left" w:pos="210"/>
        <w:tab w:val="left" w:pos="315"/>
      </w:tabs>
      <w:spacing w:before="120" w:after="120"/>
    </w:pPr>
    <w:rPr>
      <w:szCs w:val="22"/>
      <w:lang w:eastAsia="en-US"/>
    </w:rPr>
  </w:style>
  <w:style w:type="paragraph" w:styleId="3">
    <w:name w:val="toa heading"/>
    <w:basedOn w:val="1"/>
    <w:next w:val="1"/>
    <w:semiHidden/>
    <w:qFormat/>
    <w:uiPriority w:val="0"/>
    <w:pPr>
      <w:spacing w:before="120"/>
    </w:pPr>
    <w:rPr>
      <w:rFonts w:ascii="Arial" w:hAnsi="Arial"/>
      <w:b/>
      <w:bCs/>
      <w:szCs w:val="24"/>
    </w:rPr>
  </w:style>
  <w:style w:type="paragraph" w:styleId="4">
    <w:name w:val="Plain Text"/>
    <w:basedOn w:val="1"/>
    <w:qFormat/>
    <w:uiPriority w:val="0"/>
    <w:rPr>
      <w:rFonts w:ascii="宋体" w:hAnsi="Courier New"/>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5636</Words>
  <Characters>6288</Characters>
  <Lines>0</Lines>
  <Paragraphs>0</Paragraphs>
  <TotalTime>29</TotalTime>
  <ScaleCrop>false</ScaleCrop>
  <LinksUpToDate>false</LinksUpToDate>
  <CharactersWithSpaces>6746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2024-07-23T02:00:00Z</dcterms:created>
  <dc:creator>呀呀呀呀</dc:creator>
  <cp:lastModifiedBy>diya</cp:lastModifiedBy>
  <dcterms:modified xsi:type="dcterms:W3CDTF">2024-08-01T02:36:46Z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555061614D0A487CB1AE202ED2FDA2AA_13</vt:lpwstr>
  </property>
</Properties>
</file>