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tabs>
          <w:tab w:val="left" w:pos="0"/>
        </w:tabs>
        <w:jc w:val="center"/>
        <w:rPr>
          <w:rFonts w:hint="eastAsia" w:cs="Arial" w:asciiTheme="minorEastAsia" w:hAnsiTheme="minorEastAsia" w:eastAsiaTheme="minorEastAsia"/>
          <w:b/>
          <w:sz w:val="36"/>
          <w:szCs w:val="36"/>
          <w:lang w:eastAsia="zh-CN"/>
        </w:rPr>
      </w:pPr>
      <w:r>
        <w:rPr>
          <w:rFonts w:hint="eastAsia" w:cs="Arial" w:asciiTheme="minorEastAsia" w:hAnsiTheme="minorEastAsia" w:eastAsiaTheme="minorEastAsia"/>
          <w:b/>
          <w:sz w:val="36"/>
          <w:szCs w:val="36"/>
        </w:rPr>
        <w:t>安徽新集矿山建设工程有限公司</w:t>
      </w:r>
    </w:p>
    <w:p>
      <w:pPr>
        <w:jc w:val="center"/>
        <w:rPr>
          <w:rFonts w:asciiTheme="minorEastAsia" w:hAnsiTheme="minorEastAsia" w:eastAsiaTheme="minorEastAsia"/>
          <w:b/>
          <w:bCs/>
          <w:sz w:val="36"/>
          <w:szCs w:val="44"/>
        </w:rPr>
      </w:pPr>
    </w:p>
    <w:p>
      <w:pPr>
        <w:jc w:val="center"/>
        <w:rPr>
          <w:rFonts w:asciiTheme="minorEastAsia" w:hAnsiTheme="minorEastAsia" w:eastAsiaTheme="minorEastAsia"/>
          <w:b/>
          <w:bCs/>
          <w:sz w:val="36"/>
          <w:szCs w:val="44"/>
        </w:rPr>
      </w:pPr>
    </w:p>
    <w:p>
      <w:pPr>
        <w:jc w:val="center"/>
        <w:rPr>
          <w:rFonts w:asciiTheme="minorEastAsia" w:hAnsiTheme="minorEastAsia" w:eastAsiaTheme="minorEastAsia"/>
          <w:b/>
          <w:bCs/>
          <w:sz w:val="36"/>
          <w:szCs w:val="44"/>
        </w:rPr>
      </w:pPr>
    </w:p>
    <w:p>
      <w:pPr>
        <w:jc w:val="center"/>
        <w:rPr>
          <w:rFonts w:asciiTheme="minorEastAsia" w:hAnsiTheme="minorEastAsia" w:eastAsiaTheme="minorEastAsia"/>
          <w:b/>
          <w:bCs/>
          <w:sz w:val="36"/>
          <w:szCs w:val="44"/>
        </w:rPr>
      </w:pPr>
    </w:p>
    <w:p>
      <w:pPr>
        <w:spacing w:afterLines="50" w:line="360" w:lineRule="auto"/>
        <w:jc w:val="center"/>
        <w:rPr>
          <w:rFonts w:hint="eastAsia" w:cs="Arial" w:asciiTheme="minorEastAsia" w:hAnsiTheme="minorEastAsia" w:eastAsiaTheme="minorEastAsia"/>
          <w:b/>
          <w:sz w:val="28"/>
          <w:szCs w:val="28"/>
          <w:lang w:val="en-US" w:eastAsia="zh-CN"/>
        </w:rPr>
      </w:pPr>
      <w:r>
        <w:rPr>
          <w:rFonts w:hint="eastAsia" w:cs="Arial" w:asciiTheme="minorEastAsia" w:hAnsiTheme="minorEastAsia" w:eastAsiaTheme="minorEastAsia"/>
          <w:b/>
          <w:sz w:val="28"/>
          <w:szCs w:val="28"/>
          <w:lang w:val="en-US" w:eastAsia="zh-CN"/>
        </w:rPr>
        <w:t>淮南市能源数据中心及数字经济万创园项目施工工总承包一标段</w:t>
      </w:r>
    </w:p>
    <w:p>
      <w:pPr>
        <w:spacing w:afterLines="50" w:line="360" w:lineRule="auto"/>
        <w:jc w:val="center"/>
        <w:rPr>
          <w:rFonts w:hint="eastAsia" w:cs="Arial" w:asciiTheme="minorEastAsia" w:hAnsiTheme="minorEastAsia" w:eastAsiaTheme="minorEastAsia"/>
          <w:b/>
          <w:sz w:val="28"/>
          <w:szCs w:val="28"/>
          <w:lang w:val="en-US" w:eastAsia="zh-CN"/>
        </w:rPr>
      </w:pPr>
      <w:r>
        <w:rPr>
          <w:rFonts w:hint="eastAsia" w:cs="Arial" w:asciiTheme="minorEastAsia" w:hAnsiTheme="minorEastAsia" w:eastAsiaTheme="minorEastAsia"/>
          <w:b/>
          <w:sz w:val="28"/>
          <w:szCs w:val="28"/>
          <w:lang w:val="en-US" w:eastAsia="zh-CN"/>
        </w:rPr>
        <w:t>广告服务招标文件</w:t>
      </w: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jc w:val="center"/>
        <w:rPr>
          <w:rFonts w:asciiTheme="minorEastAsia" w:hAnsiTheme="minorEastAsia" w:eastAsiaTheme="minorEastAsia"/>
          <w:b/>
          <w:bCs/>
          <w:sz w:val="44"/>
        </w:rPr>
      </w:pPr>
    </w:p>
    <w:p>
      <w:pPr>
        <w:rPr>
          <w:rFonts w:asciiTheme="minorEastAsia" w:hAnsiTheme="minorEastAsia" w:eastAsiaTheme="minorEastAsia"/>
          <w:b/>
          <w:bCs/>
        </w:rPr>
      </w:pPr>
    </w:p>
    <w:p>
      <w:pPr>
        <w:spacing w:line="360" w:lineRule="auto"/>
        <w:jc w:val="center"/>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32"/>
        </w:rPr>
        <w:t>招标单位：安徽新集矿山建设工程有限公司</w:t>
      </w:r>
    </w:p>
    <w:p>
      <w:pPr>
        <w:jc w:val="center"/>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 xml:space="preserve"> 2024</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 xml:space="preserve"> 6</w:t>
      </w:r>
      <w:r>
        <w:rPr>
          <w:rFonts w:hint="eastAsia" w:asciiTheme="minorEastAsia" w:hAnsiTheme="minorEastAsia" w:eastAsiaTheme="minorEastAsia"/>
          <w:sz w:val="32"/>
          <w:szCs w:val="32"/>
        </w:rPr>
        <w:t>月</w:t>
      </w:r>
      <w:r>
        <w:rPr>
          <w:rFonts w:hint="eastAsia" w:asciiTheme="minorEastAsia" w:hAnsiTheme="minorEastAsia" w:eastAsiaTheme="minorEastAsia"/>
          <w:sz w:val="32"/>
          <w:szCs w:val="32"/>
          <w:lang w:val="en-US" w:eastAsia="zh-CN"/>
        </w:rPr>
        <w:t xml:space="preserve"> 19</w:t>
      </w:r>
      <w:r>
        <w:rPr>
          <w:rFonts w:hint="eastAsia" w:asciiTheme="minorEastAsia" w:hAnsiTheme="minorEastAsia" w:eastAsiaTheme="minorEastAsia"/>
          <w:sz w:val="32"/>
          <w:szCs w:val="32"/>
        </w:rPr>
        <w:t>日</w:t>
      </w:r>
    </w:p>
    <w:p>
      <w:r>
        <w:br w:type="page"/>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淮南市能源数据中心及数字经济万创园项目施工总承包一标段项目根据</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民典法</w:t>
      </w:r>
      <w:r>
        <w:rPr>
          <w:rFonts w:hint="eastAsia" w:ascii="宋体" w:hAnsi="宋体" w:eastAsia="宋体" w:cs="宋体"/>
          <w:color w:val="000000" w:themeColor="text1"/>
          <w:sz w:val="24"/>
          <w:lang w:val="en-US" w:eastAsia="zh-CN"/>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规定，就淮南市能源数据中心及数字经济万创园项目施工总承包一标段项目广告定点服务采购项目进行公开招标，欢迎符合条件的供应商前来投标，现将本次公开招标的有关事项公告如下：</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一、工程综合说明</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1、工程名称：淮南市能源数据中心及数字经济万创园项目施工总承包一标段</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2、工程地点：淮南市山南高新区智慧谷</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3、招标方式：综合单价</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二、招标范围：</w:t>
      </w:r>
    </w:p>
    <w:tbl>
      <w:tblPr>
        <w:tblStyle w:val="4"/>
        <w:tblW w:w="893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0"/>
        <w:gridCol w:w="2390"/>
        <w:gridCol w:w="3157"/>
        <w:gridCol w:w="1331"/>
        <w:gridCol w:w="883"/>
        <w:gridCol w:w="6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名称</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规格型号</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喷绘</w:t>
            </w:r>
            <w:r>
              <w:rPr>
                <w:rFonts w:hint="eastAsia" w:ascii="宋体" w:hAnsi="宋体" w:cs="宋体"/>
                <w:i w:val="0"/>
                <w:iCs w:val="0"/>
                <w:color w:val="000000"/>
                <w:kern w:val="0"/>
                <w:sz w:val="20"/>
                <w:szCs w:val="20"/>
                <w:u w:val="none"/>
                <w:lang w:val="en-US" w:eastAsia="zh-CN" w:bidi="ar"/>
              </w:rPr>
              <w:t>（普喷）</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restart"/>
            <w:tcBorders>
              <w:top w:val="single" w:color="000000" w:sz="4" w:space="0"/>
              <w:left w:val="single" w:color="000000" w:sz="4" w:space="0"/>
              <w:right w:val="single" w:color="000000" w:sz="4" w:space="0"/>
            </w:tcBorders>
            <w:shd w:val="clear" w:color="auto" w:fill="auto"/>
            <w:noWrap/>
            <w:vAlign w:val="center"/>
          </w:tcPr>
          <w:p>
            <w:pPr>
              <w:jc w:val="both"/>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具体工程量以实际发生的合格工程为准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喷绘</w:t>
            </w:r>
            <w:r>
              <w:rPr>
                <w:rFonts w:hint="eastAsia" w:ascii="宋体" w:hAnsi="宋体" w:cs="宋体"/>
                <w:i w:val="0"/>
                <w:iCs w:val="0"/>
                <w:color w:val="000000"/>
                <w:kern w:val="0"/>
                <w:sz w:val="20"/>
                <w:szCs w:val="20"/>
                <w:u w:val="none"/>
                <w:lang w:val="en-US" w:eastAsia="zh-CN" w:bidi="ar"/>
              </w:rPr>
              <w:t>（景喷）</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550</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写真</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车贴/写真光膜覆</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KT板5mm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车贴/写真光膜覆</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PVC7mm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车贴/写真光膜覆</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PVC5mm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晶格贴覆</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PVC5mm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黑胶车贴</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180克</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黑白喷绘布</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晶格反光贴</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5mmpvc雕刻</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实厚4.5mm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7mmpvc雕刻</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实厚6.5mm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10mmpvc雕刻</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实厚8.5mm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雕刻+UV打印</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PVC5mm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雕刻+UV打印</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PVC7mm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雕刻+UV打印</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PVC10mm</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2mm亚克力+7mmpvc雕刻</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UV打印</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条幅</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70cm宽</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条幅</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90cm宽</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布旗布</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钢管+喷绘布</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钢管+铁皮+喷绘布</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钢管+铁皮+车贴</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晶格贴+钢管+铁皮</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PVC标识牌</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400*600*10</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PVC标识牌</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600*800*10</w:t>
            </w: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点阵字</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29</w:t>
            </w:r>
          </w:p>
        </w:tc>
        <w:tc>
          <w:tcPr>
            <w:tcW w:w="2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PVC平面发光字</w:t>
            </w:r>
          </w:p>
        </w:tc>
        <w:tc>
          <w:tcPr>
            <w:tcW w:w="31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3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w:t>
            </w:r>
          </w:p>
        </w:tc>
        <w:tc>
          <w:tcPr>
            <w:tcW w:w="8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673"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bl>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三、招标要求</w:t>
      </w:r>
    </w:p>
    <w:p>
      <w:pPr>
        <w:adjustRightInd w:val="0"/>
        <w:snapToGrid w:val="0"/>
        <w:spacing w:line="360" w:lineRule="auto"/>
        <w:ind w:firstLine="480" w:firstLineChars="200"/>
        <w:jc w:val="left"/>
        <w:rPr>
          <w:rFonts w:hint="default" w:asciiTheme="minorEastAsia" w:hAnsiTheme="minorEastAsia" w:eastAsiaTheme="minorEastAsia"/>
          <w:b/>
          <w:bCs/>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1、完成工期：按招标方要求时间完成</w:t>
      </w:r>
      <w:r>
        <w:rPr>
          <w:rFonts w:hint="eastAsia" w:asciiTheme="minorEastAsia" w:hAnsiTheme="minorEastAsia" w:eastAsiaTheme="minorEastAsia"/>
          <w:b/>
          <w:bCs/>
          <w:color w:val="000000" w:themeColor="text1"/>
          <w:sz w:val="24"/>
          <w:lang w:val="en-US" w:eastAsia="zh-CN"/>
          <w14:textFill>
            <w14:solidFill>
              <w14:schemeClr w14:val="tx1"/>
            </w14:solidFill>
          </w14:textFill>
        </w:rPr>
        <w:t>（应急时必须按招标方规定时间完成）。</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2、质量要求：合格。</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3、结算要求：</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每月结算一次，以实际发生量按投标单价进行结算。</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中标方每月25日前按招标方要求上报本月发生量*投标单价进行结算。</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4、不论投标结果如何，投标人均应自行承担所有与投标有关的全部费用。</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本项目各分包不接受联合体投标。</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5、投标后，若招标单位对投标文件有疑问，招标人可通知投标单位进行询问。</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招标人无须对投标人做未达成协议的解释。</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四、评标</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1、本工程由招标人组织的评审人员进行评审。</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2、评审：由招标人自行组织人员进行综合评审。招标人无需对中标合理性向任何投标人作出解释。</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3、定标：本次招标达到三家及以上公司前来投标，不足三家流标，现场评委进行商讨防止不平衡报价，进行合理低价中标（不保证最低价中标）。</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 严禁投标人以任何形式围标、串标，如发现投标人有围标、串标行为，没收投标保证金，永久清理出招标人合作供应商范围，并由投标人承担由此带来的所有责任。</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五、标书</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1、标书应包括标书封面、企业法人身份证明书和授权委托书、投标书、营业执照。</w:t>
      </w:r>
    </w:p>
    <w:p>
      <w:p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2、投标文件一式四份（一正三副）胶装并加盖单位公章及法人代表或法人委托人印鉴后装于密封的封袋内并加盖骑缝章。</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六、投标保证金：</w:t>
      </w:r>
      <w:bookmarkStart w:id="0" w:name="_GoBack"/>
      <w:bookmarkEnd w:id="0"/>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1、本工程投标保证金为10000.00元（壹万圆整）；确定投标人后，3日内退回未中标单位投标保证金，中标单位保证金在合同签订后3日内退还。</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投标保证金款项必须从投标人的账户中汇出。投标保证金递交信息如下：</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名称：安徽新集矿山建设工程有限公司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账号：181205791225  </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开户行：中国银行淮南新集支行</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七、投标日程安排及相关事宜：</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在招标文件公布之日起，有意向投标方根据招标文件要求，定于 2024 年 7月1日当天10时 00 分前，各投标单位把投标文件递交至安徽新集矿山建设工程有限公司（安徽省淮南市田区新舜大厦7楼，逾期送达的投标文件被拒绝。 2024年 7月1日 10时00分当众开启各方投标文件。</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八、招标人与招标联系人</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招标人：安徽新集矿山建设工程有限公司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联系人（商务）：石多梅     电话：15956671500    </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 xml:space="preserve">施工现场负责人： 王磊        电话13739255789 </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纪委负责人：王书记</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纪委监督电话：13355549738  邮箱：</w:t>
      </w:r>
      <w:r>
        <w:rPr>
          <w:rFonts w:hint="eastAsia" w:asciiTheme="minorEastAsia" w:hAnsiTheme="minorEastAsia" w:eastAsiaTheme="minorEastAsia"/>
          <w:color w:val="000000" w:themeColor="text1"/>
          <w:sz w:val="24"/>
          <w:lang w:val="en-US" w:eastAsia="zh-CN"/>
          <w14:textFill>
            <w14:solidFill>
              <w14:schemeClr w14:val="tx1"/>
            </w14:solidFill>
          </w14:textFill>
        </w:rPr>
        <w:fldChar w:fldCharType="begin"/>
      </w:r>
      <w:r>
        <w:rPr>
          <w:rFonts w:hint="eastAsia" w:asciiTheme="minorEastAsia" w:hAnsiTheme="minorEastAsia" w:eastAsiaTheme="minorEastAsia"/>
          <w:color w:val="000000" w:themeColor="text1"/>
          <w:sz w:val="24"/>
          <w:lang w:val="en-US" w:eastAsia="zh-CN"/>
          <w14:textFill>
            <w14:solidFill>
              <w14:schemeClr w14:val="tx1"/>
            </w14:solidFill>
          </w14:textFill>
        </w:rPr>
        <w:instrText xml:space="preserve"> HYPERLINK "mailto:xjdc2024@qq.com" </w:instrText>
      </w:r>
      <w:r>
        <w:rPr>
          <w:rFonts w:hint="eastAsia" w:asciiTheme="minorEastAsia" w:hAnsiTheme="minorEastAsia" w:eastAsiaTheme="minorEastAsia"/>
          <w:color w:val="000000" w:themeColor="text1"/>
          <w:sz w:val="24"/>
          <w:lang w:val="en-US" w:eastAsia="zh-CN"/>
          <w14:textFill>
            <w14:solidFill>
              <w14:schemeClr w14:val="tx1"/>
            </w14:solidFill>
          </w14:textFill>
        </w:rPr>
        <w:fldChar w:fldCharType="separate"/>
      </w:r>
      <w:r>
        <w:rPr>
          <w:rStyle w:val="8"/>
          <w:rFonts w:hint="eastAsia" w:asciiTheme="minorEastAsia" w:hAnsiTheme="minorEastAsia" w:eastAsiaTheme="minorEastAsia"/>
          <w:color w:val="000000" w:themeColor="text1"/>
          <w:sz w:val="24"/>
          <w:lang w:val="en-US" w:eastAsia="zh-CN"/>
          <w14:textFill>
            <w14:solidFill>
              <w14:schemeClr w14:val="tx1"/>
            </w14:solidFill>
          </w14:textFill>
        </w:rPr>
        <w:t>xjdc2024@qq.com</w:t>
      </w:r>
      <w:r>
        <w:rPr>
          <w:rFonts w:hint="eastAsia" w:asciiTheme="minorEastAsia" w:hAnsiTheme="minorEastAsia" w:eastAsiaTheme="minorEastAsia"/>
          <w:color w:val="000000" w:themeColor="text1"/>
          <w:sz w:val="24"/>
          <w:lang w:val="en-US" w:eastAsia="zh-CN"/>
          <w14:textFill>
            <w14:solidFill>
              <w14:schemeClr w14:val="tx1"/>
            </w14:solidFill>
          </w14:textFill>
        </w:rPr>
        <w:fldChar w:fldCharType="end"/>
      </w:r>
    </w:p>
    <w:p>
      <w:pPr>
        <w:adjustRightInd w:val="0"/>
        <w:snapToGrid w:val="0"/>
        <w:spacing w:line="360" w:lineRule="auto"/>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附件1：</w:t>
      </w:r>
      <w:r>
        <w:rPr>
          <w:rFonts w:hint="eastAsia" w:asciiTheme="minorEastAsia" w:hAnsiTheme="minorEastAsia" w:eastAsiaTheme="minorEastAsia"/>
          <w:color w:val="000000" w:themeColor="text1"/>
          <w:sz w:val="24"/>
          <w:lang w:val="en-US" w:eastAsia="zh-CN"/>
          <w14:textFill>
            <w14:solidFill>
              <w14:schemeClr w14:val="tx1"/>
            </w14:solidFill>
          </w14:textFill>
        </w:rPr>
        <w:tab/>
      </w:r>
    </w:p>
    <w:p>
      <w:pPr>
        <w:adjustRightInd w:val="0"/>
        <w:snapToGrid w:val="0"/>
        <w:spacing w:line="360" w:lineRule="auto"/>
        <w:ind w:firstLine="560" w:firstLineChars="200"/>
        <w:jc w:val="cente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b/>
          <w:bCs/>
          <w:color w:val="000000" w:themeColor="text1"/>
          <w:sz w:val="28"/>
          <w:szCs w:val="28"/>
          <w:lang w:val="en-US" w:eastAsia="zh-CN"/>
          <w14:textFill>
            <w14:solidFill>
              <w14:schemeClr w14:val="tx1"/>
            </w14:solidFill>
          </w14:textFill>
        </w:rPr>
        <w:t>投  标　书</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安徽新集矿山建设工程有限公司：</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淮南市能源数据中心及数字经济万创园项目施工总承包一标段广告定点服务采购的招标文件，我单位经考察现场和研究上述工程招标文件后，我方投标如下：</w:t>
      </w:r>
    </w:p>
    <w:tbl>
      <w:tblPr>
        <w:tblStyle w:val="4"/>
        <w:tblW w:w="10104"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72"/>
        <w:gridCol w:w="2280"/>
        <w:gridCol w:w="1342"/>
        <w:gridCol w:w="873"/>
        <w:gridCol w:w="818"/>
        <w:gridCol w:w="1102"/>
        <w:gridCol w:w="1233"/>
        <w:gridCol w:w="992"/>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承揽物</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规格型号</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1102"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不含税单价（元）</w:t>
            </w: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含税单价（元）</w:t>
            </w: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安装费</w:t>
            </w:r>
          </w:p>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（元）</w:t>
            </w: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喷绘</w:t>
            </w:r>
            <w:r>
              <w:rPr>
                <w:rFonts w:hint="eastAsia" w:ascii="宋体" w:hAnsi="宋体" w:cs="宋体"/>
                <w:i w:val="0"/>
                <w:iCs w:val="0"/>
                <w:color w:val="000000"/>
                <w:kern w:val="0"/>
                <w:sz w:val="20"/>
                <w:szCs w:val="20"/>
                <w:u w:val="none"/>
                <w:lang w:val="en-US" w:eastAsia="zh-CN" w:bidi="ar"/>
              </w:rPr>
              <w:t>（普喷）</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550</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喷绘</w:t>
            </w:r>
            <w:r>
              <w:rPr>
                <w:rFonts w:hint="eastAsia" w:ascii="宋体" w:hAnsi="宋体" w:cs="宋体"/>
                <w:i w:val="0"/>
                <w:iCs w:val="0"/>
                <w:color w:val="000000"/>
                <w:kern w:val="0"/>
                <w:sz w:val="20"/>
                <w:szCs w:val="20"/>
                <w:u w:val="none"/>
                <w:lang w:val="en-US" w:eastAsia="zh-CN" w:bidi="ar"/>
              </w:rPr>
              <w:t>（景喷）</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550</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写真</w:t>
            </w:r>
          </w:p>
        </w:tc>
        <w:tc>
          <w:tcPr>
            <w:tcW w:w="1342" w:type="dxa"/>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w:t>
            </w:r>
          </w:p>
        </w:tc>
        <w:tc>
          <w:tcPr>
            <w:tcW w:w="1342" w:type="dxa"/>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车贴/写真光膜覆</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KT板5mm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车贴/写真光膜覆</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PVC7mm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车贴/写真光膜覆</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PVC5mm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晶格贴覆</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PVC5mm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黑胶车贴</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180克</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黑白喷绘布</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560</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晶格反光贴</w:t>
            </w:r>
          </w:p>
        </w:tc>
        <w:tc>
          <w:tcPr>
            <w:tcW w:w="1342" w:type="dxa"/>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5mmpvc雕刻</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实厚4.5mm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7mmpvc雕刻</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实厚6.5mm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10mmpvc雕刻</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实厚8.5mm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雕刻+UV打印</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PVC5mm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雕刻+UV打印</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PVC7mm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雕刻+UV打印</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PVC10mm</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2mm亚克力+7mmpvc雕刻</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UV打印</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条幅</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70cm宽</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条幅</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90cm宽</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布旗布</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钢管+喷绘布</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钢管+铁皮+喷绘布</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钢管+铁皮+车贴</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晶格贴+钢管+铁皮</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2.5*2.5方管</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PVC标识牌</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400*600*10</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PVC标识牌</w:t>
            </w:r>
          </w:p>
        </w:tc>
        <w:tc>
          <w:tcPr>
            <w:tcW w:w="134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600*800*10</w:t>
            </w: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28</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点阵字</w:t>
            </w:r>
          </w:p>
        </w:tc>
        <w:tc>
          <w:tcPr>
            <w:tcW w:w="1342" w:type="dxa"/>
            <w:shd w:val="clear" w:color="auto" w:fill="auto"/>
            <w:noWrap/>
            <w:vAlign w:val="center"/>
          </w:tcPr>
          <w:p>
            <w:pPr>
              <w:jc w:val="center"/>
              <w:rPr>
                <w:rFonts w:hint="eastAsia" w:ascii="宋体" w:hAnsi="宋体" w:eastAsia="宋体" w:cs="宋体"/>
                <w:i w:val="0"/>
                <w:iCs w:val="0"/>
                <w:color w:val="000000"/>
                <w:kern w:val="0"/>
                <w:sz w:val="20"/>
                <w:szCs w:val="20"/>
                <w:u w:val="none"/>
                <w:lang w:val="en-US" w:eastAsia="zh-CN" w:bidi="ar"/>
              </w:rPr>
            </w:pP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72" w:type="dxa"/>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29</w:t>
            </w:r>
          </w:p>
        </w:tc>
        <w:tc>
          <w:tcPr>
            <w:tcW w:w="2280"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 PVC平面发光字</w:t>
            </w:r>
          </w:p>
        </w:tc>
        <w:tc>
          <w:tcPr>
            <w:tcW w:w="1342" w:type="dxa"/>
            <w:shd w:val="clear" w:color="auto" w:fill="auto"/>
            <w:noWrap/>
            <w:vAlign w:val="center"/>
          </w:tcPr>
          <w:p>
            <w:pPr>
              <w:jc w:val="center"/>
              <w:rPr>
                <w:rFonts w:hint="eastAsia" w:ascii="宋体" w:hAnsi="宋体" w:eastAsia="宋体" w:cs="宋体"/>
                <w:i w:val="0"/>
                <w:iCs w:val="0"/>
                <w:color w:val="000000"/>
                <w:kern w:val="0"/>
                <w:sz w:val="20"/>
                <w:szCs w:val="20"/>
                <w:u w:val="none"/>
                <w:lang w:val="en-US" w:eastAsia="zh-CN" w:bidi="ar"/>
              </w:rPr>
            </w:pPr>
          </w:p>
        </w:tc>
        <w:tc>
          <w:tcPr>
            <w:tcW w:w="87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平方</w:t>
            </w:r>
          </w:p>
        </w:tc>
        <w:tc>
          <w:tcPr>
            <w:tcW w:w="818"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10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33"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992" w:type="dxa"/>
            <w:shd w:val="clear" w:color="auto" w:fill="auto"/>
            <w:noWrap/>
            <w:vAlign w:val="center"/>
          </w:tcPr>
          <w:p>
            <w:pPr>
              <w:jc w:val="center"/>
              <w:rPr>
                <w:rFonts w:hint="eastAsia" w:ascii="宋体" w:hAnsi="宋体" w:eastAsia="宋体" w:cs="宋体"/>
                <w:i w:val="0"/>
                <w:iCs w:val="0"/>
                <w:color w:val="000000"/>
                <w:sz w:val="20"/>
                <w:szCs w:val="20"/>
                <w:u w:val="none"/>
              </w:rPr>
            </w:pPr>
          </w:p>
        </w:tc>
      </w:tr>
    </w:tbl>
    <w:p>
      <w:pPr>
        <w:numPr>
          <w:ilvl w:val="0"/>
          <w:numId w:val="1"/>
        </w:num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报价含</w:t>
      </w:r>
      <w:r>
        <w:rPr>
          <w:rFonts w:hint="eastAsia" w:asciiTheme="minorEastAsia" w:hAnsiTheme="minorEastAsia" w:eastAsiaTheme="minorEastAsia"/>
          <w:color w:val="000000" w:themeColor="text1"/>
          <w:sz w:val="24"/>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4"/>
          <w:u w:val="none"/>
          <w:lang w:val="en-US" w:eastAsia="zh-CN"/>
          <w14:textFill>
            <w14:solidFill>
              <w14:schemeClr w14:val="tx1"/>
            </w14:solidFill>
          </w14:textFill>
        </w:rPr>
        <w:t>%</w:t>
      </w:r>
      <w:r>
        <w:rPr>
          <w:rFonts w:hint="eastAsia" w:asciiTheme="minorEastAsia" w:hAnsiTheme="minorEastAsia" w:eastAsiaTheme="minorEastAsia"/>
          <w:color w:val="000000" w:themeColor="text1"/>
          <w:sz w:val="24"/>
          <w:lang w:val="en-US" w:eastAsia="zh-CN"/>
          <w14:textFill>
            <w14:solidFill>
              <w14:schemeClr w14:val="tx1"/>
            </w14:solidFill>
          </w14:textFill>
        </w:rPr>
        <w:t>税</w:t>
      </w:r>
    </w:p>
    <w:p>
      <w:pPr>
        <w:numPr>
          <w:ilvl w:val="0"/>
          <w:numId w:val="1"/>
        </w:numPr>
        <w:adjustRightInd w:val="0"/>
        <w:snapToGrid w:val="0"/>
        <w:spacing w:line="360" w:lineRule="auto"/>
        <w:ind w:firstLine="480" w:firstLineChars="200"/>
        <w:jc w:val="left"/>
        <w:rPr>
          <w:rFonts w:hint="default"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单价悬殊过大时，安装费不参与评标，在单价相近时，安装费用参与评标。</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3、本投标单价为送至现场全部费用。如需安装通知中标人进行安装，投标为综合单价。</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4、工期及质量承诺：一旦我方达成协议，我方保证按照招标方要求时间内完工，并确保质量符合要求。</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olor w:val="000000" w:themeColor="text1"/>
          <w:sz w:val="24"/>
          <w:lang w:val="en-US" w:eastAsia="zh-CN"/>
          <w14:textFill>
            <w14:solidFill>
              <w14:schemeClr w14:val="tx1"/>
            </w14:solidFill>
          </w14:textFill>
        </w:rPr>
        <w:t>除非另外达成协议并生效，否则你方的招标文件、通知书和本投标文件将构成约束我们双方的合同。</w:t>
      </w:r>
    </w:p>
    <w:p>
      <w:pPr>
        <w:adjustRightInd w:val="0"/>
        <w:snapToGrid w:val="0"/>
        <w:spacing w:line="360" w:lineRule="auto"/>
        <w:ind w:firstLine="480" w:firstLineChars="200"/>
        <w:jc w:val="left"/>
        <w:rPr>
          <w:rFonts w:hint="eastAsia" w:asciiTheme="minorEastAsia" w:hAnsiTheme="minorEastAsia" w:eastAsiaTheme="minorEastAsia"/>
          <w:color w:val="000000" w:themeColor="text1"/>
          <w:sz w:val="24"/>
          <w:lang w:val="en-US" w:eastAsia="zh-CN"/>
          <w14:textFill>
            <w14:solidFill>
              <w14:schemeClr w14:val="tx1"/>
            </w14:solidFill>
          </w14:textFill>
        </w:rPr>
      </w:pPr>
    </w:p>
    <w:p>
      <w:pPr>
        <w:rPr>
          <w:rFonts w:hint="eastAsia"/>
          <w:lang w:val="en-US" w:eastAsia="zh-CN"/>
        </w:rPr>
      </w:pPr>
    </w:p>
    <w:p>
      <w:pPr>
        <w:adjustRightInd w:val="0"/>
        <w:snapToGrid w:val="0"/>
        <w:spacing w:after="100" w:afterAutospacing="1" w:line="360" w:lineRule="auto"/>
        <w:jc w:val="left"/>
      </w:pPr>
    </w:p>
    <w:sectPr>
      <w:footerReference r:id="rId3" w:type="default"/>
      <w:pgSz w:w="11906" w:h="16838"/>
      <w:pgMar w:top="1800" w:right="1440" w:bottom="1800" w:left="12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10</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10</w:t>
    </w:r>
    <w:r>
      <w:rPr>
        <w:kern w:val="0"/>
        <w:szCs w:val="21"/>
      </w:rPr>
      <w:fldChar w:fldCharType="end"/>
    </w:r>
    <w:r>
      <w:rPr>
        <w:rFonts w:hint="eastAsia"/>
        <w:kern w:val="0"/>
        <w:szCs w:val="21"/>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FC7D4A"/>
    <w:multiLevelType w:val="singleLevel"/>
    <w:tmpl w:val="C7FC7D4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26F16C58"/>
    <w:rsid w:val="00C91C98"/>
    <w:rsid w:val="03A954AE"/>
    <w:rsid w:val="06367DD0"/>
    <w:rsid w:val="090022FB"/>
    <w:rsid w:val="0B157BC4"/>
    <w:rsid w:val="0BB77D6F"/>
    <w:rsid w:val="10923E54"/>
    <w:rsid w:val="11862CC9"/>
    <w:rsid w:val="122049FF"/>
    <w:rsid w:val="131B7216"/>
    <w:rsid w:val="14A735E4"/>
    <w:rsid w:val="1799223E"/>
    <w:rsid w:val="18A46E1B"/>
    <w:rsid w:val="191D2AAB"/>
    <w:rsid w:val="19344E0A"/>
    <w:rsid w:val="1A604AE5"/>
    <w:rsid w:val="1EC25575"/>
    <w:rsid w:val="1FF95914"/>
    <w:rsid w:val="21F40788"/>
    <w:rsid w:val="244F7C86"/>
    <w:rsid w:val="2599737A"/>
    <w:rsid w:val="26F16C58"/>
    <w:rsid w:val="274F6C5B"/>
    <w:rsid w:val="28436B76"/>
    <w:rsid w:val="2B697E3E"/>
    <w:rsid w:val="2BEC4061"/>
    <w:rsid w:val="2C142D3F"/>
    <w:rsid w:val="2C570BCE"/>
    <w:rsid w:val="2DA435A5"/>
    <w:rsid w:val="2E9B6172"/>
    <w:rsid w:val="2F6814B6"/>
    <w:rsid w:val="2FC35981"/>
    <w:rsid w:val="349C75E7"/>
    <w:rsid w:val="35470E02"/>
    <w:rsid w:val="36687282"/>
    <w:rsid w:val="37031C33"/>
    <w:rsid w:val="3739138D"/>
    <w:rsid w:val="37A25767"/>
    <w:rsid w:val="38493D14"/>
    <w:rsid w:val="397B2E2F"/>
    <w:rsid w:val="3A013C75"/>
    <w:rsid w:val="3A832CC2"/>
    <w:rsid w:val="3BD85564"/>
    <w:rsid w:val="40026A2A"/>
    <w:rsid w:val="40A73FA6"/>
    <w:rsid w:val="41155595"/>
    <w:rsid w:val="411E0B85"/>
    <w:rsid w:val="41F145CF"/>
    <w:rsid w:val="426E359C"/>
    <w:rsid w:val="45466CA4"/>
    <w:rsid w:val="46AD1B13"/>
    <w:rsid w:val="47781A11"/>
    <w:rsid w:val="47FF1090"/>
    <w:rsid w:val="483F42E6"/>
    <w:rsid w:val="484C255F"/>
    <w:rsid w:val="48D427AF"/>
    <w:rsid w:val="4A7A0436"/>
    <w:rsid w:val="4AA83441"/>
    <w:rsid w:val="4E6B4DA4"/>
    <w:rsid w:val="50020D67"/>
    <w:rsid w:val="500F06BD"/>
    <w:rsid w:val="50E824AE"/>
    <w:rsid w:val="51020954"/>
    <w:rsid w:val="52AF3AD2"/>
    <w:rsid w:val="54654C91"/>
    <w:rsid w:val="5B242EC8"/>
    <w:rsid w:val="5D5A1032"/>
    <w:rsid w:val="5DAB3C67"/>
    <w:rsid w:val="5DF00580"/>
    <w:rsid w:val="5E543529"/>
    <w:rsid w:val="5ECC4633"/>
    <w:rsid w:val="5FBD21F3"/>
    <w:rsid w:val="60594608"/>
    <w:rsid w:val="61E60EDA"/>
    <w:rsid w:val="62CD0E3F"/>
    <w:rsid w:val="65B55A8C"/>
    <w:rsid w:val="65D9609A"/>
    <w:rsid w:val="672371B7"/>
    <w:rsid w:val="69BF79E6"/>
    <w:rsid w:val="6A3A0E9D"/>
    <w:rsid w:val="6C5F57EB"/>
    <w:rsid w:val="6DBF3CD5"/>
    <w:rsid w:val="712D006F"/>
    <w:rsid w:val="718C2A45"/>
    <w:rsid w:val="71DF703D"/>
    <w:rsid w:val="72800ED4"/>
    <w:rsid w:val="72F21458"/>
    <w:rsid w:val="755A222F"/>
    <w:rsid w:val="764F797D"/>
    <w:rsid w:val="78FD327E"/>
    <w:rsid w:val="7A4D127A"/>
    <w:rsid w:val="7AA56EB7"/>
    <w:rsid w:val="7B9D2C22"/>
    <w:rsid w:val="7C9B125C"/>
    <w:rsid w:val="7CDB6A14"/>
    <w:rsid w:val="7D157B4E"/>
    <w:rsid w:val="7F8C7E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qFormat/>
    <w:uiPriority w:val="0"/>
    <w:rPr>
      <w:b/>
      <w:bCs/>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2065</Words>
  <Characters>2464</Characters>
  <TotalTime>2</TotalTime>
  <ScaleCrop>false</ScaleCrop>
  <LinksUpToDate>false</LinksUpToDate>
  <CharactersWithSpaces>2510</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2024-02-20T10:46:00Z</dcterms:created>
  <dc:creator>86159</dc:creator>
  <cp:lastModifiedBy>diya</cp:lastModifiedBy>
  <dcterms:modified xsi:type="dcterms:W3CDTF">2024-06-20T08:55:44Z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4F1A0E5ADA464875B36D1ABD2BF4972A_13</vt:lpwstr>
  </property>
</Properties>
</file>