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spacing w:afterLines="50" w:line="360" w:lineRule="auto"/>
        <w:jc w:val="center"/>
        <w:rPr>
          <w:rFonts w:hint="eastAsia" w:cs="Arial" w:asciiTheme="minorEastAsia" w:hAnsiTheme="minorEastAsia" w:eastAsiaTheme="minorEastAsia"/>
          <w:b/>
          <w:sz w:val="32"/>
          <w:szCs w:val="32"/>
          <w:lang w:val="en-US" w:eastAsia="zh-CN"/>
        </w:rPr>
      </w:pPr>
      <w:r>
        <w:rPr>
          <w:rFonts w:hint="eastAsia" w:cs="Arial" w:asciiTheme="minorEastAsia" w:hAnsiTheme="minorEastAsia" w:eastAsiaTheme="minorEastAsia"/>
          <w:b/>
          <w:sz w:val="32"/>
          <w:szCs w:val="32"/>
          <w:lang w:val="en-US" w:eastAsia="zh-CN"/>
        </w:rPr>
        <w:t>淮南市能源数据中心及数字经济万创园项目施工工总承包一标段防水工程专业分包招标文件</w:t>
      </w: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rPr>
          <w:rFonts w:asciiTheme="minorEastAsia" w:hAnsiTheme="minorEastAsia" w:eastAsiaTheme="minorEastAsia"/>
          <w:b/>
          <w:bCs/>
        </w:rPr>
      </w:pPr>
    </w:p>
    <w:p>
      <w:pPr>
        <w:spacing w:line="360" w:lineRule="auto"/>
        <w:jc w:val="center"/>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32"/>
        </w:rPr>
        <w:t>招标单位：安徽新集矿山建设工程有限公司</w:t>
      </w:r>
    </w:p>
    <w:p>
      <w:pPr>
        <w:jc w:val="center"/>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日</w:t>
      </w:r>
    </w:p>
    <w:p/>
    <w:p/>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能源数据中心及数字经济万创园项目施工总承包一标段防水工程采取专业分包，为保质按期完成工程项目，招标人决定对本项目内地下室（底板、外墙、顶板）、消防水池、设备间、管道进、室内卫生间、操作间、外墙（地上部分）、屋面等相关防水工程采取招标的方式，择优选择合格分包商。本招标文件是各投标人编制投标书的依据，也是今后招标人与投标人签订分包合同的依据。</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一、工程综合说明</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1、工程名称：淮南市能源数据中心及数字经济万创园项目施工总承包一标段防水工程</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2、工程地点：淮南市山南高新区智慧谷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3、总承包单位：安徽新集矿山建设工程有限公司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4、工程概况：</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能源数据中心及数字经济万创园项目施工总承包一标段工程，位于淮南市高新技术产业开发区，智慧谷东侧，大道西侧,主要施工内容为B02-03地块，包括4#、5#、6#、10#、11#、12#、地下室等施工图范围内容，项目规划用地面积约为36595.17㎡，总建筑面积约124285.9㎡（其中地上建筑面积约67529.84㎡，地下建筑面积约56756.09㎡），具体详见图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5、招标方式:综合单价包干形式(包工包料形式)</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二、工程内容及招标范围：</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1、承包方式：</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包工、包料、包工期、包质量、包安全、包文明施工、包原材料及成品试验资料齐全验收合格并由投标方自供设备的形式承包施工。</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2、本次招标范围及相关要求（详见工程量清单）：</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范围：</w:t>
      </w:r>
      <w:r>
        <w:rPr>
          <w:rFonts w:hint="eastAsia" w:asciiTheme="minorEastAsia" w:hAnsiTheme="minorEastAsia" w:eastAsiaTheme="minorEastAsia"/>
          <w:color w:val="000000" w:themeColor="text1"/>
          <w:sz w:val="24"/>
          <w:lang w:val="zh-CN" w:eastAsia="zh-CN"/>
          <w14:textFill>
            <w14:solidFill>
              <w14:schemeClr w14:val="tx1"/>
            </w14:solidFill>
          </w14:textFill>
        </w:rPr>
        <w:t>地下室底板防水、地下室墙身防水</w:t>
      </w:r>
      <w:r>
        <w:rPr>
          <w:rFonts w:hint="eastAsia" w:asciiTheme="minorEastAsia" w:hAnsiTheme="minorEastAsia" w:eastAsiaTheme="minorEastAsia"/>
          <w:color w:val="000000" w:themeColor="text1"/>
          <w:sz w:val="24"/>
          <w:lang w:val="en-US" w:eastAsia="zh-CN"/>
          <w14:textFill>
            <w14:solidFill>
              <w14:schemeClr w14:val="tx1"/>
            </w14:solidFill>
          </w14:textFill>
        </w:rPr>
        <w:t>、</w:t>
      </w:r>
      <w:r>
        <w:rPr>
          <w:rFonts w:hint="eastAsia" w:asciiTheme="minorEastAsia" w:hAnsiTheme="minorEastAsia" w:eastAsiaTheme="minorEastAsia"/>
          <w:color w:val="000000" w:themeColor="text1"/>
          <w:sz w:val="24"/>
          <w:lang w:val="zh-CN" w:eastAsia="zh-CN"/>
          <w14:textFill>
            <w14:solidFill>
              <w14:schemeClr w14:val="tx1"/>
            </w14:solidFill>
          </w14:textFill>
        </w:rPr>
        <w:t>地下室顶板防水（室外道路、</w:t>
      </w:r>
      <w:r>
        <w:rPr>
          <w:rFonts w:hint="eastAsia" w:asciiTheme="minorEastAsia" w:hAnsiTheme="minorEastAsia" w:eastAsiaTheme="minorEastAsia"/>
          <w:color w:val="000000" w:themeColor="text1"/>
          <w:sz w:val="24"/>
          <w:lang w:val="en-US" w:eastAsia="zh-CN"/>
          <w14:textFill>
            <w14:solidFill>
              <w14:schemeClr w14:val="tx1"/>
            </w14:solidFill>
          </w14:textFill>
        </w:rPr>
        <w:t>广场、绿化</w:t>
      </w:r>
      <w:r>
        <w:rPr>
          <w:rFonts w:hint="eastAsia" w:asciiTheme="minorEastAsia" w:hAnsiTheme="minorEastAsia" w:eastAsiaTheme="minorEastAsia"/>
          <w:color w:val="000000" w:themeColor="text1"/>
          <w:sz w:val="24"/>
          <w:lang w:val="zh-CN" w:eastAsia="zh-CN"/>
          <w14:textFill>
            <w14:solidFill>
              <w14:schemeClr w14:val="tx1"/>
            </w14:solidFill>
          </w14:textFill>
        </w:rPr>
        <w:t>部分）</w:t>
      </w:r>
      <w:r>
        <w:rPr>
          <w:rFonts w:hint="eastAsia" w:asciiTheme="minorEastAsia" w:hAnsiTheme="minorEastAsia" w:eastAsiaTheme="minorEastAsia"/>
          <w:color w:val="000000" w:themeColor="text1"/>
          <w:sz w:val="24"/>
          <w:lang w:val="en-US" w:eastAsia="zh-CN"/>
          <w14:textFill>
            <w14:solidFill>
              <w14:schemeClr w14:val="tx1"/>
            </w14:solidFill>
          </w14:textFill>
        </w:rPr>
        <w:t>、地下室水池底板及内侧壁防水、地下有水地面防水、卫生间、厨房、备餐间地面防水、卫生间等有水房间墙面防水、外墙（地上部分）、屋面防水、地下室有水房间墙面。</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zh-CN" w:eastAsia="zh-CN"/>
          <w14:textFill>
            <w14:solidFill>
              <w14:schemeClr w14:val="tx1"/>
            </w14:solidFill>
          </w14:textFill>
        </w:rPr>
      </w:pPr>
      <w:r>
        <w:rPr>
          <w:rFonts w:hint="eastAsia" w:asciiTheme="minorEastAsia" w:hAnsiTheme="minorEastAsia" w:eastAsiaTheme="minorEastAsia"/>
          <w:color w:val="000000" w:themeColor="text1"/>
          <w:sz w:val="24"/>
          <w:lang w:val="zh-CN" w:eastAsia="zh-CN"/>
          <w14:textFill>
            <w14:solidFill>
              <w14:schemeClr w14:val="tx1"/>
            </w14:solidFill>
          </w14:textFill>
        </w:rPr>
        <w:t>相关参数均必须达到国家标准；其余具体施工做法以图纸、图集、相关验评规范及技术交底为准；</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zh-CN" w:eastAsia="zh-CN"/>
          <w14:textFill>
            <w14:solidFill>
              <w14:schemeClr w14:val="tx1"/>
            </w14:solidFill>
          </w14:textFill>
        </w:rPr>
        <w:t>3、品控要求：防水卷材/涂料材料为：科顺、卓宝、东方雨虹、宏源、大禹</w:t>
      </w:r>
      <w:r>
        <w:rPr>
          <w:rFonts w:hint="eastAsia" w:asciiTheme="minorEastAsia" w:hAnsiTheme="minorEastAsia" w:eastAsiaTheme="minorEastAsia"/>
          <w:color w:val="000000" w:themeColor="text1"/>
          <w:sz w:val="24"/>
          <w:lang w:val="en-US" w:eastAsia="zh-CN"/>
          <w14:textFill>
            <w14:solidFill>
              <w14:schemeClr w14:val="tx1"/>
            </w14:solidFill>
          </w14:textFill>
        </w:rPr>
        <w:t>等同等档次品牌。</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r>
        <w:rPr>
          <w:rFonts w:hint="eastAsia" w:asciiTheme="minorEastAsia" w:hAnsiTheme="minorEastAsia" w:eastAsiaTheme="minorEastAsia"/>
          <w:color w:val="000000" w:themeColor="text1"/>
          <w:sz w:val="24"/>
          <w:lang w:val="zh-CN" w:eastAsia="zh-CN"/>
          <w14:textFill>
            <w14:solidFill>
              <w14:schemeClr w14:val="tx1"/>
            </w14:solidFill>
          </w14:textFill>
        </w:rPr>
        <w:t>、现场不提供分包方人员食宿，本分包工程为包工包料，现场</w:t>
      </w:r>
      <w:r>
        <w:rPr>
          <w:rFonts w:hint="eastAsia" w:asciiTheme="minorEastAsia" w:hAnsiTheme="minorEastAsia" w:eastAsiaTheme="minorEastAsia"/>
          <w:color w:val="000000" w:themeColor="text1"/>
          <w:sz w:val="24"/>
          <w:lang w:val="en-US" w:eastAsia="zh-CN"/>
          <w14:textFill>
            <w14:solidFill>
              <w14:schemeClr w14:val="tx1"/>
            </w14:solidFill>
          </w14:textFill>
        </w:rPr>
        <w:t>使</w:t>
      </w:r>
      <w:r>
        <w:rPr>
          <w:rFonts w:hint="eastAsia" w:asciiTheme="minorEastAsia" w:hAnsiTheme="minorEastAsia" w:eastAsiaTheme="minorEastAsia"/>
          <w:color w:val="000000" w:themeColor="text1"/>
          <w:sz w:val="24"/>
          <w:lang w:val="zh-CN" w:eastAsia="zh-CN"/>
          <w14:textFill>
            <w14:solidFill>
              <w14:schemeClr w14:val="tx1"/>
            </w14:solidFill>
          </w14:textFill>
        </w:rPr>
        <w:t>用的所有主辅材及小型工具、机械均由分包方自理。施工用电、用水由</w:t>
      </w:r>
      <w:r>
        <w:rPr>
          <w:rFonts w:hint="eastAsia" w:asciiTheme="minorEastAsia" w:hAnsiTheme="minorEastAsia" w:eastAsiaTheme="minorEastAsia"/>
          <w:color w:val="000000" w:themeColor="text1"/>
          <w:sz w:val="24"/>
          <w:lang w:val="en-US" w:eastAsia="zh-CN"/>
          <w14:textFill>
            <w14:solidFill>
              <w14:schemeClr w14:val="tx1"/>
            </w14:solidFill>
          </w14:textFill>
        </w:rPr>
        <w:t>分</w:t>
      </w:r>
      <w:r>
        <w:rPr>
          <w:rFonts w:hint="eastAsia" w:asciiTheme="minorEastAsia" w:hAnsiTheme="minorEastAsia" w:eastAsiaTheme="minorEastAsia"/>
          <w:color w:val="000000" w:themeColor="text1"/>
          <w:sz w:val="24"/>
          <w:lang w:val="zh-CN" w:eastAsia="zh-CN"/>
          <w14:textFill>
            <w14:solidFill>
              <w14:schemeClr w14:val="tx1"/>
            </w14:solidFill>
          </w14:textFill>
        </w:rPr>
        <w:t>包</w:t>
      </w:r>
      <w:r>
        <w:rPr>
          <w:rFonts w:hint="eastAsia" w:asciiTheme="minorEastAsia" w:hAnsiTheme="minorEastAsia" w:eastAsiaTheme="minorEastAsia"/>
          <w:color w:val="000000" w:themeColor="text1"/>
          <w:sz w:val="24"/>
          <w:lang w:val="en-US" w:eastAsia="zh-CN"/>
          <w14:textFill>
            <w14:solidFill>
              <w14:schemeClr w14:val="tx1"/>
            </w14:solidFill>
          </w14:textFill>
        </w:rPr>
        <w:t>方</w:t>
      </w:r>
      <w:r>
        <w:rPr>
          <w:rFonts w:hint="eastAsia" w:asciiTheme="minorEastAsia" w:hAnsiTheme="minorEastAsia" w:eastAsiaTheme="minorEastAsia"/>
          <w:color w:val="000000" w:themeColor="text1"/>
          <w:sz w:val="24"/>
          <w:lang w:val="zh-CN" w:eastAsia="zh-CN"/>
          <w14:textFill>
            <w14:solidFill>
              <w14:schemeClr w14:val="tx1"/>
            </w14:solidFill>
          </w14:textFill>
        </w:rPr>
        <w:t>提供，垂直水平运输均由乙方自理，现场垂直提升设备若有</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方可提供使用，若无乙方自理。</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zh-CN" w:eastAsia="zh-CN"/>
          <w14:textFill>
            <w14:solidFill>
              <w14:schemeClr w14:val="tx1"/>
            </w14:solidFill>
          </w14:textFill>
        </w:rPr>
        <w:t>5、</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方材料进场后由</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方安排专人进行抽检、送检，各项检测、试验费用均由</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方承担，材料进场后必须经检测、验收合格后方可使用；同时</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方必须提供材料检测报告、合格证等质量证明文件一式四份，其中原件不少于三份。</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三、招标要求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1、投标工期：</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本项目防水工程分块分段实施，中标人根据招标人提供的工作面面积合理组织防水施工，招标人提供的防水工作面≤1000㎡的，中标人需在2日内完成防水,招标人提供的防水工作面＞1000㎡的，中标人需在3日内完成防水施工，每一工作面具体开工时间以招标方书面通知为准；投标方可根据施工能力及经验自行考虑，招标方需对投标方工期时行评审，投标一致的情况下，工期短者达成协议。如达成协议后施工中因业主或招标方要求缩短工期，在技术条件允许情况下投标方需无理由执行且不增加任何费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2、工程质量</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本工程严格按照国家现行的房屋建筑施工规范质量验收规范评定标准进行监督检查，若质量不符合标准，由投标人进行返工，直至达到要求为准，返工所发生的费用和工期损失及由此引起招标人的损失，均由投标人承担。</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3、安全文明施工要求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3.1 投标人应保证其在施工中符合国家《安全生产法》及与安全相关的法律法规，一旦发生的安全事故，应立即向我公司报告，我公司亦有权对投标人的安全隐患提出整改意见；投标人未及时整改的，我公司有权自行或委托他人整改，发生的费用由投标人承担。</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3.2乙方按当地有关的安全规定及业主、监理、甲方的要求，采取严格的安全保护措施，做好安全防范工作。若发生安全事故，乙方承担主要安全责任和因此发生的经济损失（包括赔偿金及罚款）的95%的损失，招标人承担连带责任，并承担5%的损失并积极协调处理事故。</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3.3  投标人必须服从招标人现场管理，严格执行各项规章制度。进入工地必须戴好安全帽，特殊工种执证操作，认真严格执行国家及市政府、业主与招标人对安全生产、文明施工的规定制度和要求。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4、本工程无预付款,每月支付经验收合格后实际工程量的70%，待工程完工并经竣工验收合格后付至结算工程款的97%，留3%作为质保金，待五年质保期满后无质量问题一次性支付（无息）。</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5、投标要求：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综合单价（所有材料机械均由投标人提供）</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包括但不限于按照招标方提供的招标文件保质保量按招标人要求完成的原材验收、测量放线、机械进出场、施工、运输、检测、验收直至移交的所有相关工作内容，及作业环境保洁、有关施工技术措施、与现场内外各方面的协调等工程施工过程中所需发生的人工、机械、材料（主材及辅材）、措施费（含脚手架）、管理费、利润、税金等一切费用。税金计取必须是增值专用税，且在投标投标明细表中（附件二）明确税点。</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6、工程结算要求：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以实际施工工程量按投标综合单价进行结算</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中标方每月25日前应按招标方规定的月进度表格上报每月进度，经招标方审核确认。若所报工程量的质量达不到验收规范要求，招标方有权暂缓支付该部分工程款，待中标方整改达到验收规范要求并经验收合格后，在下一期进度款支付时一并支付。</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其他要求：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7.1投标人资质等级：防水施工资质一级 ，防水专业分包工程业绩要求：两个2021年1月1日之后签订的180万元以上的合同及验收证明文件</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7.2投标人需按招标人的要求编制工程施工方案，并及时报送与本工程有关的各种报表等资料。</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7.3投标人需服从招标人现场人员的统一指挥，按设计施工图和规范要求组织施工，确保工程质量和施工安全。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7.4投标人保证施工现场符合文明施工的要求。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7.5投标人需做好日常施工资料的收集整理工作，保证交工资料的完善准确。</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7.6投标人应熟悉国家及安徽省、淮南市防水施工的相关规范和规定，充分了解施工现场内供水、供电、运输等条件，达成协议后不得以不完全了解现场状况为由，而向招标人提出额外的费用补偿或延长施工期限。</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7.7投标人恶意串通投标的，视为作废处理。投标人在签订合同施工全过程，招标人有权对投标人的人力、机械、材料进行不定时监督检查，并对到场材料进行抽样送检，因中标人原因造成质量问题的，由中标人自行承担结果及所发生的费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四、招标其他说明：</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1、投标人必须认真检查、清点领取的招标文件，确定是否与承包范围相符，如有任何缺漏、字迹不清楚等，投标人必须立即通知招标人，以便纠正上述的缺漏、字迹不清楚等。</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2、投标人不得在未经授权之前对招标文件的内容做任何修改或删节，否则其投标文件将作废而不被接受。</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3、不论投标人的投标结果如何，投标人应自行承担投标所发生的任何费用。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 、投标后，若招标单位对投标文件有疑问，招标人可通知投标单位进行询问。</w:t>
      </w:r>
    </w:p>
    <w:p>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招标人无须对投标人做未达成协议的解释；</w:t>
      </w:r>
    </w:p>
    <w:p>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定标：本次评标为满足三家及以上经招标人评审后，合理低价中标（不保证最低价中标），两家转为竞争性谈判，一家转为单一谈判。</w:t>
      </w:r>
    </w:p>
    <w:p>
      <w:pPr>
        <w:spacing w:line="360" w:lineRule="auto"/>
        <w:ind w:firstLine="480" w:firstLineChars="200"/>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7、标书应包括</w:t>
      </w:r>
    </w:p>
    <w:p>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第一册：商务标书，包括商务标书封面、企业法人身份证明书和授权委托书、投标函、工程量清单计价表。</w:t>
      </w:r>
    </w:p>
    <w:p>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第二册：技术标书，包括技术标书封面、营业执照和资质等级证明的复印件（加盖公章）、业绩、技术方案、招标文件所要求的其它资料（如：投标单位相关网站信用截图）。</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8、投标文件一式四份（一正三副）胶装并加盖单位公章及法人代表或法人委托人印鉴后装于密封的封袋内并加盖骑缝章。</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五、招标声明：</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1、本次招标，招标人设有最高投标限价并在开标时公布，超过最高限价的投标将被否定。</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2、再次强调：严禁投标人以任何形式围标、串标，如发现投标人有围标、串标行为，没收投标保证金，永久清理出招标人合作供应商范围，并由投标人承担由此带来的所有责任。</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3、投标文件要求提供原材料质量证明书，如中标，在施工中招标人按此配比监督投标人施工。</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4、招标人对投标的投标人从低至高进行实地考察，确定是否有能力完成本次招标任务，而后再确定投标人。</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六、履约保证金：</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 本工程投标保证金为100000.00元（拾万圆整）；履约保证金为200000.00元（贰拾万圆整），确定投标人后，其投标保证金直接转为履约保证金，不足部分投标人需在合同签订前一日内补交，招标人提供收据。履约保证金款项必须从投标人的账户中汇出。履约保证金递交信息如下：</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名称：安徽新集矿山建设工程有限公司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账号：181205791225  </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开户行：中国银行淮南新集支行</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七、投标日程安排及相关事宜：</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在招标文件公布之日起，有意向投标方根据招标文件要求，定于 2024 年 4月7日当天9时 30 分前，各投标单位把投标文件递交至安徽新集矿山建设工程有限公司（安徽省淮南市田</w:t>
      </w:r>
      <w:bookmarkStart w:id="0" w:name="_GoBack"/>
      <w:bookmarkEnd w:id="0"/>
      <w:r>
        <w:rPr>
          <w:rFonts w:hint="eastAsia" w:asciiTheme="minorEastAsia" w:hAnsiTheme="minorEastAsia" w:eastAsiaTheme="minorEastAsia"/>
          <w:color w:val="000000" w:themeColor="text1"/>
          <w:sz w:val="24"/>
          <w:lang w:val="en-US" w:eastAsia="zh-CN"/>
          <w14:textFill>
            <w14:solidFill>
              <w14:schemeClr w14:val="tx1"/>
            </w14:solidFill>
          </w14:textFill>
        </w:rPr>
        <w:t>区新舜大厦7楼，逾期送达的投标文件被拒绝。 2024年 4月 7日  10时 00分当众开启各方投标文件。</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八、其他</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   招标方名称：安徽新集矿山建设工程有限公司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地 址：淮南山南智慧谷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联系人：石多梅</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联系电话：15956671500</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现场联系人：王磊</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联系电话：13739255789</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附件1：</w:t>
      </w:r>
      <w:r>
        <w:rPr>
          <w:rFonts w:hint="eastAsia" w:asciiTheme="minorEastAsia" w:hAnsiTheme="minorEastAsia" w:eastAsiaTheme="minorEastAsia"/>
          <w:color w:val="000000" w:themeColor="text1"/>
          <w:sz w:val="24"/>
          <w:lang w:val="en-US" w:eastAsia="zh-CN"/>
          <w14:textFill>
            <w14:solidFill>
              <w14:schemeClr w14:val="tx1"/>
            </w14:solidFill>
          </w14:textFill>
        </w:rPr>
        <w:tab/>
      </w:r>
    </w:p>
    <w:p>
      <w:pPr>
        <w:adjustRightInd w:val="0"/>
        <w:snapToGrid w:val="0"/>
        <w:spacing w:line="360" w:lineRule="auto"/>
        <w:ind w:firstLine="480" w:firstLineChars="200"/>
        <w:jc w:val="center"/>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  标　书</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淮南市能源数据中心及数字经济万创园项目施工总承包一标段防水工程的招标文件，我单位经考察现场和研究上述工程招标文件后，我方投标如下：</w:t>
      </w:r>
    </w:p>
    <w:tbl>
      <w:tblPr>
        <w:tblStyle w:val="4"/>
        <w:tblpPr w:leftFromText="180" w:rightFromText="180" w:vertAnchor="text" w:horzAnchor="margin" w:tblpY="58"/>
        <w:tblW w:w="0" w:type="auto"/>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871"/>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83" w:type="dxa"/>
            <w:shd w:val="clear" w:color="auto" w:fill="auto"/>
            <w:noWrap/>
            <w:vAlign w:val="center"/>
          </w:tcPr>
          <w:p>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序号</w:t>
            </w:r>
          </w:p>
        </w:tc>
        <w:tc>
          <w:tcPr>
            <w:tcW w:w="1871"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项目名称</w:t>
            </w:r>
          </w:p>
        </w:tc>
        <w:tc>
          <w:tcPr>
            <w:tcW w:w="6227"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金    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883"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w:t>
            </w:r>
          </w:p>
        </w:tc>
        <w:tc>
          <w:tcPr>
            <w:tcW w:w="1871"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最终投标</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（含税价）</w:t>
            </w:r>
          </w:p>
        </w:tc>
        <w:tc>
          <w:tcPr>
            <w:tcW w:w="6227" w:type="dxa"/>
            <w:shd w:val="clear" w:color="auto" w:fill="auto"/>
            <w:noWrap/>
            <w:vAlign w:val="center"/>
          </w:tcPr>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小写：   元    大写：  </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w:t>
            </w:r>
          </w:p>
        </w:tc>
        <w:tc>
          <w:tcPr>
            <w:tcW w:w="1871"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   期</w:t>
            </w:r>
          </w:p>
        </w:tc>
        <w:tc>
          <w:tcPr>
            <w:tcW w:w="6227"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w:t>
            </w:r>
          </w:p>
        </w:tc>
        <w:tc>
          <w:tcPr>
            <w:tcW w:w="1871" w:type="dxa"/>
            <w:shd w:val="clear" w:color="auto" w:fill="auto"/>
            <w:noWrap/>
            <w:vAlign w:val="center"/>
          </w:tcPr>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投标说明</w:t>
            </w:r>
          </w:p>
        </w:tc>
        <w:tc>
          <w:tcPr>
            <w:tcW w:w="6227" w:type="dxa"/>
            <w:shd w:val="clear" w:color="auto" w:fill="auto"/>
            <w:noWrap/>
            <w:vAlign w:val="center"/>
          </w:tcPr>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提供  专税发票</w:t>
            </w:r>
          </w:p>
        </w:tc>
      </w:tr>
    </w:tbl>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以上总价内包括完成本分包工程内的人工费、材料费（主材及辅材）、机械费、管理费、水电费、利润、税金、技术措施费、机械进出场费、检测费、安全文明施工费等一切费用。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2、本投标已包括完成施工所需的全部费用。投标为综合单价。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3、按招标文件要求承包上述工程的施工、竣工。</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4、工期及质量承诺：一旦我方达成协议，我方保证按照招标方工期要求完工，并确保工程质量符合设计图纸及规范要求。推迟工期3天以内，500元/天进行罚款，推迟超过3天，按1000元/天进行处罚。</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5、我司承诺：按照招标人最新的施工组织设计安排生产力。</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除非另外达成协议并生效，否则你方的招标文件、通知书和本投标文件将构成约束我们双方的合同。</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pPr>
        <w:rPr>
          <w:rFonts w:hint="eastAsia"/>
          <w:lang w:val="en-US" w:eastAsia="zh-CN"/>
        </w:rPr>
      </w:pPr>
      <w:r>
        <w:rPr>
          <w:rFonts w:hint="eastAsia"/>
          <w:lang w:val="en-US" w:eastAsia="zh-CN"/>
        </w:rPr>
        <w:t>附件2：</w:t>
      </w:r>
    </w:p>
    <w:p>
      <w:pPr>
        <w:rPr>
          <w:rFonts w:hint="eastAsia"/>
          <w:lang w:val="en-US" w:eastAsia="zh-CN"/>
        </w:rPr>
      </w:pPr>
    </w:p>
    <w:tbl>
      <w:tblPr>
        <w:tblStyle w:val="4"/>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3"/>
        <w:gridCol w:w="1020"/>
        <w:gridCol w:w="2775"/>
        <w:gridCol w:w="780"/>
        <w:gridCol w:w="825"/>
        <w:gridCol w:w="1080"/>
        <w:gridCol w:w="1095"/>
        <w:gridCol w:w="18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9732"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 程 量 清 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9732"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工程名称：淮南市能源数据中心及数字经济万创园项目施工工总承包一标段防水工程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项目特征描述</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计量</w:t>
            </w:r>
          </w:p>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单位</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暂定</w:t>
            </w:r>
          </w:p>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工程量</w:t>
            </w:r>
          </w:p>
        </w:tc>
        <w:tc>
          <w:tcPr>
            <w:tcW w:w="3999"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i w:val="0"/>
                <w:iCs w:val="0"/>
                <w:color w:val="000000"/>
                <w:sz w:val="20"/>
                <w:szCs w:val="20"/>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i w:val="0"/>
                <w:iCs w:val="0"/>
                <w:color w:val="000000"/>
                <w:sz w:val="20"/>
                <w:szCs w:val="20"/>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i w:val="0"/>
                <w:iCs w:val="0"/>
                <w:color w:val="000000"/>
                <w:sz w:val="20"/>
                <w:szCs w:val="20"/>
                <w:u w:val="none"/>
              </w:rPr>
            </w:pPr>
          </w:p>
        </w:tc>
        <w:tc>
          <w:tcPr>
            <w:tcW w:w="10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黑体" w:hAnsi="宋体" w:eastAsia="黑体" w:cs="黑体"/>
                <w:i w:val="0"/>
                <w:iCs w:val="0"/>
                <w:color w:val="000000"/>
                <w:sz w:val="20"/>
                <w:szCs w:val="20"/>
                <w:u w:val="none"/>
                <w:lang w:val="en-US"/>
              </w:rPr>
            </w:pPr>
            <w:r>
              <w:rPr>
                <w:rFonts w:hint="eastAsia" w:ascii="黑体" w:hAnsi="宋体" w:eastAsia="黑体" w:cs="黑体"/>
                <w:i w:val="0"/>
                <w:iCs w:val="0"/>
                <w:color w:val="000000"/>
                <w:kern w:val="0"/>
                <w:sz w:val="20"/>
                <w:szCs w:val="20"/>
                <w:u w:val="none"/>
                <w:lang w:val="en-US" w:eastAsia="zh-CN" w:bidi="ar"/>
              </w:rPr>
              <w:t>综合单价(不含税）</w:t>
            </w:r>
          </w:p>
        </w:tc>
        <w:tc>
          <w:tcPr>
            <w:tcW w:w="10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综合单价(含税）</w:t>
            </w:r>
          </w:p>
        </w:tc>
        <w:tc>
          <w:tcPr>
            <w:tcW w:w="1824"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合价（含税）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trPr>
        <w:tc>
          <w:tcPr>
            <w:tcW w:w="333" w:type="dxa"/>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3795"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地库人防区屋面及防水工程</w:t>
            </w:r>
          </w:p>
        </w:tc>
        <w:tc>
          <w:tcPr>
            <w:tcW w:w="78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1、部位：地下室顶板（上部为绿化、室外广场或道路）</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2、4厚弹性体改性沥青防水卷材(耐根穿刺防水层)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3、4厚SBS改性沥青防水卷材</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1、部位：地下室底板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2、卷材品种、规格、厚度：1.5厚CPS反应粘结型高分子湿铺防水卷材（2层）</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7953.270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1、部位：地下室外墙</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2、卷材品种、规格、厚度：1.5厚CPS反应粘结型高分子湿铺防水卷材（2层）</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1078.640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部位：无机涂料内墙（有水房间</w:t>
            </w:r>
            <w:r>
              <w:rPr>
                <w:rFonts w:hint="eastAsia" w:ascii="宋体" w:hAnsi="宋体" w:cs="宋体"/>
                <w:i w:val="0"/>
                <w:iCs w:val="0"/>
                <w:color w:val="000000"/>
                <w:kern w:val="0"/>
                <w:sz w:val="20"/>
                <w:szCs w:val="20"/>
                <w:u w:val="none"/>
                <w:lang w:val="en-US" w:eastAsia="zh-CN" w:bidi="ar"/>
              </w:rPr>
              <w:t>、消防水池</w:t>
            </w:r>
            <w:r>
              <w:rPr>
                <w:rFonts w:hint="eastAsia" w:ascii="宋体" w:hAnsi="宋体" w:eastAsia="宋体" w:cs="宋体"/>
                <w:i w:val="0"/>
                <w:iCs w:val="0"/>
                <w:color w:val="000000"/>
                <w:kern w:val="0"/>
                <w:sz w:val="20"/>
                <w:szCs w:val="20"/>
                <w:u w:val="none"/>
                <w:lang w:val="en-US" w:eastAsia="zh-CN" w:bidi="ar"/>
              </w:rPr>
              <w:t>）</w:t>
            </w:r>
          </w:p>
          <w:p>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2、防水膜品种：基层处理+2.0厚聚合物水泥防水涂料</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129</w:t>
            </w:r>
            <w:r>
              <w:rPr>
                <w:rFonts w:hint="eastAsia" w:ascii="宋体" w:hAnsi="宋体" w:eastAsia="宋体" w:cs="宋体"/>
                <w:i w:val="0"/>
                <w:iCs w:val="0"/>
                <w:color w:val="000000"/>
                <w:kern w:val="0"/>
                <w:sz w:val="20"/>
                <w:szCs w:val="20"/>
                <w:u w:val="none"/>
                <w:lang w:val="en-US" w:eastAsia="zh-CN" w:bidi="ar"/>
              </w:rPr>
              <w:t>9.880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地库非人防区屋面及防水工程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1、部位：地下室顶板（上部为绿化、室外广场或道路）</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2、4厚弹性体改性沥青防水卷材(耐根穿刺防水层)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3、4厚SBS改性沥青防水卷材</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18817.800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1、部位：地下室底板（非人防区）</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2、卷材品种、规格、厚度：1.5厚CPS反应粘结型高分子湿铺防水卷材（2层）</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24540.730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楼地面防水（地面7）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1、部位：电梯底坑、集水井地面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2、防水膜品种：2厚聚合物水泥防水涂料,上翻300高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477.300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1、部位：地下室外墙</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2、卷材品种、规格、厚度：1.5厚CPS反应粘结型高分子湿铺防水卷材（2层）</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7676.750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预应力锚杆防水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1、防水层做法：水泥基渗透结晶防水材料2kg/m2</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2、砂浆厚度、配合比：聚合物水泥砂浆圆顺处理</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3、密封胶密封</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2321.490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4#楼屋面及防水工程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1、部位：屋面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2919.530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墙面涂膜防水（内墙3）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1、部位：卫生间、厨房、洗手清洁、倒污、开水、晾衣等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2、防水膜品种：1.5厚聚合物水泥防水涂料,刷至距离完成面1.8m高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10841.080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4"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墙面涂膜防水（外墙</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1、部位：铝板外墙面、石材墙面、真石漆外墙面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楼梯间、大会议室、管井出屋面外墙、顶层电梯机房外墙及女儿墙内面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2、防水膜品种：1.2厚聚氨酯防水涂料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26555.64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333" w:type="dxa"/>
            <w:tcBorders>
              <w:top w:val="single" w:color="000000" w:sz="4" w:space="0"/>
              <w:left w:val="single" w:color="000000" w:sz="8"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1、部位：卫生间、厨房、备餐间等有水的房间（结构降板深度&gt;100厚区域）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3、1.2厚聚合物水泥防水涂料,上翻300高(高度从完成面层算起)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1623.140</w:t>
            </w:r>
          </w:p>
        </w:tc>
        <w:tc>
          <w:tcPr>
            <w:tcW w:w="1080" w:type="dxa"/>
            <w:tcBorders>
              <w:top w:val="single" w:color="000000" w:sz="4" w:space="0"/>
              <w:left w:val="single" w:color="000000" w:sz="4" w:space="0"/>
              <w:bottom w:val="nil"/>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nil"/>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nil"/>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1、部位：卫生间、厨房、备餐间等有水的房间（结构降板深度&lt;100厚区域）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1409.750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1、部位：空调洞处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2、卷材品种、规格、厚度：3厚SBS改性沥青防水卷材</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875.280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w:t>
            </w:r>
          </w:p>
        </w:tc>
        <w:tc>
          <w:tcPr>
            <w:tcW w:w="3795"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5#楼屋面及防水工程</w:t>
            </w:r>
          </w:p>
        </w:tc>
        <w:tc>
          <w:tcPr>
            <w:tcW w:w="78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nil"/>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nil"/>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nil"/>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1、部位：屋面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1221.010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墙面涂膜防水（内墙3）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1、部位：卫生间、厨房、洗手清洁、倒污、开水、晾衣等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2、防水膜品种：1.5厚聚合物水泥防水涂料,刷至距离完成面1.8m高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8396.410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墙面涂膜防水（外墙</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1、部位：铝板外墙面、石材墙面、真石漆外墙面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楼梯间、大会议室、管井出屋面外墙、顶层电梯机房外墙及女儿墙内面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2、防水膜品种：1.2厚聚氨酯防水涂料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9746.54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1、部位：卫生间、厨房、备餐间等有水的房间（结构降板深度&gt;100厚区域）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3、1.2厚聚合物水泥防水涂料,上翻300高(高度从完成面层算起)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1726.070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楼（地）面卷材防水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1、部位：空调洞处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2、卷材品种、规格、厚度：3厚SBS改性沥青防水卷材</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224.110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6#楼屋面及防水工程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1、部位：屋面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994.400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墙面涂膜防水（内墙3）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1、部位：卫生间、厨房、洗手清洁、倒污、开水、晾衣等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2、防水膜品种：1.5厚聚合物水泥防水涂料,刷至距离完成面1.8m高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墙面涂膜防水（外墙</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1、部位：铝板外墙面、石材墙面、真石漆外墙面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楼梯间、大会议室、管井出屋面外墙、顶层电梯机房外墙及女儿墙内面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2、防水膜品种：1.2厚聚氨酯防水涂料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6190.87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1、部位：卫生间、厨房、备餐间等有水的房间（结构降板深度&gt;100厚区域）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3、1.2厚聚合物水泥防水涂料,上翻300高(高度从完成面层算起)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47.370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1、部位：卫生间、厨房、备餐间等有水的房间（结构降板深度&lt;100厚区域）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545.020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10#楼屋面及防水工程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1、部位：屋面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1145.050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墙面涂膜防水（内墙3）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1、部位：卫生间、厨房、洗手清洁、倒污、开水、晾衣等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2、防水膜品种：1.5厚聚合物水泥防水涂料,刷至距离完成面1.8m高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199.170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墙面涂膜防水（外墙</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1、部位：铝板外墙面、石材外墙面、真石漆外墙面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楼梯间、大会议室、管井出屋面外墙、顶层电梯机房外墙及女儿墙内面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2、防水膜品种：1.2厚聚氨酯防水涂料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2300.24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1、部位：卫生间、厨房、备餐间等有水的房间（结构降板深度&lt;100厚区域）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169.990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11#楼屋面及防水工程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1、部位：屋面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1014.440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墙面涂膜防水（外墙2</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1、部位：楼梯间、大会议室、管井出屋面外墙、顶层电梯机房外墙及女儿墙内面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铝板外墙面、石材墙面</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2、1.2厚聚氨酯防水涂料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840.42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w:t>
            </w:r>
          </w:p>
        </w:tc>
        <w:tc>
          <w:tcPr>
            <w:tcW w:w="3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12#楼屋面及防水工程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屋面防水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1、部位：保温上人平屋面（屋面1）</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2、2、抛丸处理（或基层处理剂）</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3厚SBS改性沥青防水卷材(两道)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3、2mm厚非固化橡胶沥青防水涂料</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601.070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3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墙面涂膜防水（内墙</w:t>
            </w:r>
            <w:r>
              <w:rPr>
                <w:rFonts w:hint="eastAsia" w:ascii="宋体" w:hAnsi="宋体" w:cs="宋体"/>
                <w:i w:val="0"/>
                <w:iCs w:val="0"/>
                <w:color w:val="000000"/>
                <w:kern w:val="0"/>
                <w:sz w:val="20"/>
                <w:szCs w:val="20"/>
                <w:u w:val="none"/>
                <w:lang w:val="en-US" w:eastAsia="zh-CN" w:bidi="ar"/>
              </w:rPr>
              <w:t>2、3</w:t>
            </w:r>
            <w:r>
              <w:rPr>
                <w:rFonts w:hint="eastAsia" w:ascii="宋体" w:hAnsi="宋体" w:eastAsia="宋体" w:cs="宋体"/>
                <w:i w:val="0"/>
                <w:iCs w:val="0"/>
                <w:color w:val="000000"/>
                <w:kern w:val="0"/>
                <w:sz w:val="20"/>
                <w:szCs w:val="20"/>
                <w:u w:val="none"/>
                <w:lang w:val="en-US" w:eastAsia="zh-CN" w:bidi="ar"/>
              </w:rPr>
              <w:t>）</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1、部位：卫生间、厨房、洗手清洁、倒污、开水、晾衣等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2、防水膜品种：1.5厚聚合物水泥防水涂料,刷至距离完成面1.8m高</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561.24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楼（地）面涂膜防水（楼面2）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1、部位：卫生间、厨房、备餐间等有水的房间（结构降板深度&lt;100厚区域）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2、1.5厚聚合物水泥防水涂料,与第一次防水相接(上翻至完成面上300mm)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3、其他：未尽事宜详见设计图纸、图集、答疑、招标文件、政府相关文件、规范等其他资料，并满足验收要求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adjustRightInd w:val="0"/>
        <w:snapToGrid w:val="0"/>
        <w:spacing w:after="100" w:afterAutospacing="1" w:line="360" w:lineRule="auto"/>
        <w:jc w:val="left"/>
      </w:pPr>
    </w:p>
    <w:sectPr>
      <w:footerReference r:id="rId3" w:type="default"/>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10</w:t>
    </w:r>
    <w:r>
      <w:rPr>
        <w:kern w:val="0"/>
        <w:szCs w:val="21"/>
      </w:rPr>
      <w:fldChar w:fldCharType="end"/>
    </w:r>
    <w:r>
      <w:rPr>
        <w:rFonts w:hint="eastAsia"/>
        <w:kern w:val="0"/>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632CB"/>
    <w:multiLevelType w:val="singleLevel"/>
    <w:tmpl w:val="A23632CB"/>
    <w:lvl w:ilvl="0" w:tentative="0">
      <w:start w:val="5"/>
      <w:numFmt w:val="decimal"/>
      <w:suff w:val="nothing"/>
      <w:lvlText w:val="%1、"/>
      <w:lvlJc w:val="left"/>
    </w:lvl>
  </w:abstractNum>
  <w:abstractNum w:abstractNumId="1">
    <w:nsid w:val="5342B1A6"/>
    <w:multiLevelType w:val="singleLevel"/>
    <w:tmpl w:val="5342B1A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ZGM3NjQ3NTg2ZDE0MjBhMzRiMDkzZWY0ZWNhZmIifQ=="/>
  </w:docVars>
  <w:rsids>
    <w:rsidRoot w:val="26F16C58"/>
    <w:rsid w:val="00C91C98"/>
    <w:rsid w:val="03A954AE"/>
    <w:rsid w:val="06367DD0"/>
    <w:rsid w:val="090022FB"/>
    <w:rsid w:val="0B157BC4"/>
    <w:rsid w:val="0BB77D6F"/>
    <w:rsid w:val="10923E54"/>
    <w:rsid w:val="11862CC9"/>
    <w:rsid w:val="122049FF"/>
    <w:rsid w:val="131B7216"/>
    <w:rsid w:val="14A735E4"/>
    <w:rsid w:val="1799223E"/>
    <w:rsid w:val="18A46E1B"/>
    <w:rsid w:val="191D2AAB"/>
    <w:rsid w:val="1A604AE5"/>
    <w:rsid w:val="1FF95914"/>
    <w:rsid w:val="2599737A"/>
    <w:rsid w:val="26F16C58"/>
    <w:rsid w:val="274F6C5B"/>
    <w:rsid w:val="28436B76"/>
    <w:rsid w:val="2B697E3E"/>
    <w:rsid w:val="2BEC4061"/>
    <w:rsid w:val="2C570BCE"/>
    <w:rsid w:val="2FC35981"/>
    <w:rsid w:val="36687282"/>
    <w:rsid w:val="37031C33"/>
    <w:rsid w:val="3739138D"/>
    <w:rsid w:val="37A25767"/>
    <w:rsid w:val="397B2E2F"/>
    <w:rsid w:val="3A013C75"/>
    <w:rsid w:val="3BD85564"/>
    <w:rsid w:val="40026A2A"/>
    <w:rsid w:val="41155595"/>
    <w:rsid w:val="411E0B85"/>
    <w:rsid w:val="41F145CF"/>
    <w:rsid w:val="426E359C"/>
    <w:rsid w:val="45466CA4"/>
    <w:rsid w:val="46AD1B13"/>
    <w:rsid w:val="47781A11"/>
    <w:rsid w:val="483F42E6"/>
    <w:rsid w:val="48D427AF"/>
    <w:rsid w:val="4AA83441"/>
    <w:rsid w:val="4E6B4DA4"/>
    <w:rsid w:val="500F06BD"/>
    <w:rsid w:val="50E824AE"/>
    <w:rsid w:val="51020954"/>
    <w:rsid w:val="52AF3AD2"/>
    <w:rsid w:val="54654C91"/>
    <w:rsid w:val="5B242EC8"/>
    <w:rsid w:val="5D5A1032"/>
    <w:rsid w:val="5DAB3C67"/>
    <w:rsid w:val="5DF00580"/>
    <w:rsid w:val="5ECC4633"/>
    <w:rsid w:val="5FBD21F3"/>
    <w:rsid w:val="60594608"/>
    <w:rsid w:val="61E60EDA"/>
    <w:rsid w:val="62CD0E3F"/>
    <w:rsid w:val="65D9609A"/>
    <w:rsid w:val="672371B7"/>
    <w:rsid w:val="6A3A0E9D"/>
    <w:rsid w:val="6C5F57EB"/>
    <w:rsid w:val="6DBF3CD5"/>
    <w:rsid w:val="712D006F"/>
    <w:rsid w:val="718C2A45"/>
    <w:rsid w:val="71DF703D"/>
    <w:rsid w:val="72800ED4"/>
    <w:rsid w:val="72F21458"/>
    <w:rsid w:val="764F797D"/>
    <w:rsid w:val="78FD327E"/>
    <w:rsid w:val="7AA56EB7"/>
    <w:rsid w:val="7C9B125C"/>
    <w:rsid w:val="7CDB6A14"/>
    <w:rsid w:val="7D157B4E"/>
    <w:rsid w:val="7F8C7E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15</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2024-02-20T10:46:00Z</dcterms:created>
  <dc:creator>86159</dc:creator>
  <cp:lastModifiedBy>¹⁹⁹³ .₀₈.₀₆</cp:lastModifiedBy>
  <dcterms:modified xsi:type="dcterms:W3CDTF">2024-03-25T03:02:37Z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5DEE4E68A3144AF69335761C6C45F8A7_13</vt:lpwstr>
  </property>
</Properties>
</file>